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397CDD"/>
          <w:sz w:val="16"/>
        </w:rPr>
        <w:t>SOCIEDADES</w:t>
      </w:r>
    </w:p>
    <w:p>
      <w:pPr>
        <w:pStyle w:val="Title"/>
        <w:jc w:val="center"/>
      </w:pPr>
      <w:r>
        <w:rPr>
          <w:rFonts w:ascii="Georgia" w:hAnsi="Georgia"/>
          <w:b/>
          <w:color w:val="102E3C"/>
          <w:sz w:val="42"/>
        </w:rPr>
        <w:t>Transmisión de participaciones sociales</w:t>
      </w:r>
    </w:p>
    <w:p>
      <w:pPr>
        <w:jc w:val="center"/>
      </w:pPr>
      <w:r>
        <w:rPr>
          <w:rFonts w:ascii="Arial" w:hAnsi="Arial"/>
          <w:color w:val="68777D"/>
          <w:sz w:val="20"/>
        </w:rPr>
        <w:t>Preparar una compraventa de participaciones de SL sujeta a requisitos societarios y formalización pública, con comunicación al órgano de administración.</w:t>
      </w:r>
    </w:p>
    <w:tbl>
      <w:tblPr>
        <w:tblW w:type="auto" w:w="0"/>
        <w:tblLayout w:type="autofit"/>
        <w:tblLook w:firstColumn="1" w:firstRow="1" w:lastColumn="0" w:lastRow="0" w:noHBand="0" w:noVBand="1" w:val="04A0"/>
      </w:tblPr>
      <w:tblGrid>
        <w:gridCol w:w="9547"/>
      </w:tblGrid>
      <w:tr>
        <w:tc>
          <w:tcPr>
            <w:tcW w:type="dxa" w:w="9547"/>
            <w:shd w:fill="F4EFE7"/>
          </w:tcPr>
          <w:p>
            <w:r>
              <w:rPr>
                <w:rFonts w:ascii="Arial" w:hAnsi="Arial"/>
                <w:b/>
                <w:color w:val="102E3C"/>
                <w:sz w:val="20"/>
              </w:rPr>
              <w:t>MODELO EDITABLE · GUÍA DE USO</w:t>
            </w:r>
          </w:p>
          <w:p>
            <w:r>
              <w:rPr>
                <w:rFonts w:ascii="Arial" w:hAnsi="Arial"/>
                <w:color w:val="263A43"/>
                <w:sz w:val="20"/>
              </w:rPr>
              <w:t>Acciones de SA, herencia/donación, adquisición por la propia sociedad, asistencia financiera prohibida, participaciones litigiosas o operación inmobiliaria/cross-border compleja sin estudio.</w:t>
            </w:r>
          </w:p>
          <w:p>
            <w:r>
              <w:rPr>
                <w:rFonts w:ascii="Arial" w:hAnsi="Arial"/>
                <w:color w:val="263A43"/>
                <w:sz w:val="20"/>
              </w:rPr>
              <w:t>Completa solo datos comprobados, elimina alternativas incompatibles y conserva una copia y el justificante de presentación.</w:t>
            </w:r>
          </w:p>
        </w:tc>
      </w:tr>
    </w:tbl>
    <w:p>
      <w:pPr>
        <w:pStyle w:val="Heading1"/>
        <w:jc w:val="center"/>
      </w:pPr>
      <w:r>
        <w:t>MODELO EDITABLE</w:t>
      </w:r>
    </w:p>
    <w:p>
      <w:pPr>
        <w:pStyle w:val="Heading2"/>
      </w:pPr>
      <w:r>
        <w:t>ACUERDO PREPARATORIO DE TRANSMISIÓN DE PARTICIPACIONES DE [SOCIEDAD], S.L.</w:t>
      </w:r>
    </w:p>
    <w:p>
      <w:pPr>
        <w:jc w:val="both"/>
      </w:pPr>
      <w:r>
        <w:rPr>
          <w:rFonts w:ascii="Arial" w:hAnsi="Arial"/>
          <w:color w:val="263A43"/>
          <w:sz w:val="20"/>
        </w:rPr>
        <w:t>No sustituye el documento público ni declara consumada la transmisión.</w:t>
      </w:r>
    </w:p>
    <w:p>
      <w:pPr>
        <w:jc w:val="both"/>
      </w:pPr>
      <w:r>
        <w:rPr>
          <w:rFonts w:ascii="Arial" w:hAnsi="Arial"/>
          <w:color w:val="263A43"/>
          <w:sz w:val="20"/>
        </w:rPr>
        <w:t xml:space="preserve">En </w:t>
      </w:r>
      <w:r>
        <w:rPr>
          <w:rFonts w:ascii="Arial" w:hAnsi="Arial"/>
          <w:b/>
          <w:color w:val="397CDD"/>
          <w:sz w:val="20"/>
          <w:shd w:fill="E8F0FB"/>
        </w:rPr>
        <w:t>[LOCALIDAD]</w:t>
      </w:r>
      <w:r>
        <w:rPr>
          <w:rFonts w:ascii="Arial" w:hAnsi="Arial"/>
          <w:color w:val="263A43"/>
          <w:sz w:val="20"/>
        </w:rPr>
        <w:t xml:space="preserve">, a </w:t>
      </w:r>
      <w:r>
        <w:rPr>
          <w:rFonts w:ascii="Arial" w:hAnsi="Arial"/>
          <w:b/>
          <w:color w:val="397CDD"/>
          <w:sz w:val="20"/>
          <w:shd w:fill="E8F0FB"/>
        </w:rPr>
        <w:t>[FECHA]</w:t>
      </w:r>
      <w:r>
        <w:rPr>
          <w:rFonts w:ascii="Arial" w:hAnsi="Arial"/>
          <w:color w:val="263A43"/>
          <w:sz w:val="20"/>
        </w:rPr>
        <w:t>.</w:t>
      </w:r>
    </w:p>
    <w:p>
      <w:pPr>
        <w:pStyle w:val="Heading2"/>
      </w:pPr>
      <w:r>
        <w:t>REUNIDOS</w:t>
      </w:r>
    </w:p>
    <w:p>
      <w:pPr>
        <w:jc w:val="both"/>
      </w:pPr>
      <w:r>
        <w:rPr>
          <w:rFonts w:ascii="Arial" w:hAnsi="Arial"/>
          <w:color w:val="263A43"/>
          <w:sz w:val="20"/>
        </w:rPr>
        <w:t xml:space="preserve">Parte transmitente: </w:t>
      </w:r>
      <w:r>
        <w:rPr>
          <w:rFonts w:ascii="Arial" w:hAnsi="Arial"/>
          <w:b/>
          <w:color w:val="397CDD"/>
          <w:sz w:val="20"/>
          <w:shd w:fill="E8F0FB"/>
        </w:rPr>
        <w:t>[IDENTIDAD, NIF, DOMICILIO Y REPRESENTACIÓN]</w:t>
      </w:r>
      <w:r>
        <w:rPr>
          <w:rFonts w:ascii="Arial" w:hAnsi="Arial"/>
          <w:color w:val="263A43"/>
          <w:sz w:val="20"/>
        </w:rPr>
        <w:t xml:space="preserve">. Parte adquirente: </w:t>
      </w:r>
      <w:r>
        <w:rPr>
          <w:rFonts w:ascii="Arial" w:hAnsi="Arial"/>
          <w:b/>
          <w:color w:val="397CDD"/>
          <w:sz w:val="20"/>
          <w:shd w:fill="E8F0FB"/>
        </w:rPr>
        <w:t>[IDENTIDAD, NIF, DOMICILIO Y REPRESENTACIÓN]</w:t>
      </w:r>
      <w:r>
        <w:rPr>
          <w:rFonts w:ascii="Arial" w:hAnsi="Arial"/>
          <w:color w:val="263A43"/>
          <w:sz w:val="20"/>
        </w:rPr>
        <w:t xml:space="preserve">. Sociedad afectada: </w:t>
      </w:r>
      <w:r>
        <w:rPr>
          <w:rFonts w:ascii="Arial" w:hAnsi="Arial"/>
          <w:b/>
          <w:color w:val="397CDD"/>
          <w:sz w:val="20"/>
          <w:shd w:fill="E8F0FB"/>
        </w:rPr>
        <w:t>[DENOMINACIÓN, NIF, DOMICILIO Y DATOS REGISTRALES]</w:t>
      </w:r>
      <w:r>
        <w:rPr>
          <w:rFonts w:ascii="Arial" w:hAnsi="Arial"/>
          <w:color w:val="263A43"/>
          <w:sz w:val="20"/>
        </w:rPr>
        <w:t>.</w:t>
      </w:r>
    </w:p>
    <w:p>
      <w:pPr>
        <w:jc w:val="both"/>
      </w:pPr>
      <w:r>
        <w:rPr>
          <w:rFonts w:ascii="Arial" w:hAnsi="Arial"/>
          <w:color w:val="263A43"/>
          <w:sz w:val="20"/>
        </w:rPr>
        <w:t>Las partes, con capacidad y poderes acreditados, acuerdan preparar la compraventa conforme a las siguientes</w:t>
      </w:r>
    </w:p>
    <w:p>
      <w:pPr>
        <w:pStyle w:val="Heading2"/>
      </w:pPr>
      <w:r>
        <w:t>CLÁUSULAS</w:t>
      </w:r>
    </w:p>
    <w:p>
      <w:pPr>
        <w:jc w:val="both"/>
      </w:pPr>
      <w:r>
        <w:rPr>
          <w:rFonts w:ascii="Arial" w:hAnsi="Arial"/>
          <w:color w:val="263A43"/>
          <w:sz w:val="20"/>
        </w:rPr>
        <w:t xml:space="preserve">Primera. Participaciones. El objeto previsto son </w:t>
      </w:r>
      <w:r>
        <w:rPr>
          <w:rFonts w:ascii="Arial" w:hAnsi="Arial"/>
          <w:b/>
          <w:color w:val="397CDD"/>
          <w:sz w:val="20"/>
          <w:shd w:fill="E8F0FB"/>
        </w:rPr>
        <w:t>[NÚMERO]</w:t>
      </w:r>
      <w:r>
        <w:rPr>
          <w:rFonts w:ascii="Arial" w:hAnsi="Arial"/>
          <w:color w:val="263A43"/>
          <w:sz w:val="20"/>
        </w:rPr>
        <w:t xml:space="preserve"> participaciones, numeradas </w:t>
      </w:r>
      <w:r>
        <w:rPr>
          <w:rFonts w:ascii="Arial" w:hAnsi="Arial"/>
          <w:b/>
          <w:color w:val="397CDD"/>
          <w:sz w:val="20"/>
          <w:shd w:fill="E8F0FB"/>
        </w:rPr>
        <w:t>[DESDE/HASTA O RELACIÓN]</w:t>
      </w:r>
      <w:r>
        <w:rPr>
          <w:rFonts w:ascii="Arial" w:hAnsi="Arial"/>
          <w:color w:val="263A43"/>
          <w:sz w:val="20"/>
        </w:rPr>
        <w:t xml:space="preserve">, de </w:t>
      </w:r>
      <w:r>
        <w:rPr>
          <w:rFonts w:ascii="Arial" w:hAnsi="Arial"/>
          <w:b/>
          <w:color w:val="397CDD"/>
          <w:sz w:val="20"/>
          <w:shd w:fill="E8F0FB"/>
        </w:rPr>
        <w:t>[VALOR NOMINAL]</w:t>
      </w:r>
      <w:r>
        <w:rPr>
          <w:rFonts w:ascii="Arial" w:hAnsi="Arial"/>
          <w:color w:val="263A43"/>
          <w:sz w:val="20"/>
        </w:rPr>
        <w:t xml:space="preserve"> euros cada una, equivalentes al </w:t>
      </w:r>
      <w:r>
        <w:rPr>
          <w:rFonts w:ascii="Arial" w:hAnsi="Arial"/>
          <w:b/>
          <w:color w:val="397CDD"/>
          <w:sz w:val="20"/>
          <w:shd w:fill="E8F0FB"/>
        </w:rPr>
        <w:t>[ ]</w:t>
      </w:r>
      <w:r>
        <w:rPr>
          <w:rFonts w:ascii="Arial" w:hAnsi="Arial"/>
          <w:color w:val="263A43"/>
          <w:sz w:val="20"/>
        </w:rPr>
        <w:t xml:space="preserve"> % del capital. El título del transmitente es </w:t>
      </w:r>
      <w:r>
        <w:rPr>
          <w:rFonts w:ascii="Arial" w:hAnsi="Arial"/>
          <w:b/>
          <w:color w:val="397CDD"/>
          <w:sz w:val="20"/>
          <w:shd w:fill="E8F0FB"/>
        </w:rPr>
        <w:t>[DOCUMENTO Y FECHA]</w:t>
      </w:r>
      <w:r>
        <w:rPr>
          <w:rFonts w:ascii="Arial" w:hAnsi="Arial"/>
          <w:color w:val="263A43"/>
          <w:sz w:val="20"/>
        </w:rPr>
        <w:t xml:space="preserve">, y su constancia en el libro registro resulta de </w:t>
      </w:r>
      <w:r>
        <w:rPr>
          <w:rFonts w:ascii="Arial" w:hAnsi="Arial"/>
          <w:b/>
          <w:color w:val="397CDD"/>
          <w:sz w:val="20"/>
          <w:shd w:fill="E8F0FB"/>
        </w:rPr>
        <w:t>[ ]</w:t>
      </w:r>
      <w:r>
        <w:rPr>
          <w:rFonts w:ascii="Arial" w:hAnsi="Arial"/>
          <w:color w:val="263A43"/>
          <w:sz w:val="20"/>
        </w:rPr>
        <w:t xml:space="preserve">. Las cargas, usufructos, prendas, prestaciones accesorias y limitaciones conocidas son </w:t>
      </w:r>
      <w:r>
        <w:rPr>
          <w:rFonts w:ascii="Arial" w:hAnsi="Arial"/>
          <w:b/>
          <w:color w:val="397CDD"/>
          <w:sz w:val="20"/>
          <w:shd w:fill="E8F0FB"/>
        </w:rPr>
        <w:t>[IDENTIFICAR; NO AFIRMAR AUSENCIA SIN COMPROBACIÓN]</w:t>
      </w:r>
      <w:r>
        <w:rPr>
          <w:rFonts w:ascii="Arial" w:hAnsi="Arial"/>
          <w:color w:val="263A43"/>
          <w:sz w:val="20"/>
        </w:rPr>
        <w:t>.</w:t>
      </w:r>
    </w:p>
    <w:p>
      <w:pPr>
        <w:jc w:val="both"/>
      </w:pPr>
      <w:r>
        <w:rPr>
          <w:rFonts w:ascii="Arial" w:hAnsi="Arial"/>
          <w:color w:val="263A43"/>
          <w:sz w:val="20"/>
        </w:rPr>
        <w:t xml:space="preserve">Segunda. Precio y pago. El precio total pactado para la futura transmisión es </w:t>
      </w:r>
      <w:r>
        <w:rPr>
          <w:rFonts w:ascii="Arial" w:hAnsi="Arial"/>
          <w:b/>
          <w:color w:val="397CDD"/>
          <w:sz w:val="20"/>
          <w:shd w:fill="E8F0FB"/>
        </w:rPr>
        <w:t>[IMPORTE]</w:t>
      </w:r>
      <w:r>
        <w:rPr>
          <w:rFonts w:ascii="Arial" w:hAnsi="Arial"/>
          <w:color w:val="263A43"/>
          <w:sz w:val="20"/>
        </w:rPr>
        <w:t xml:space="preserve"> euros, distribuido por participaciones o bloques según </w:t>
      </w:r>
      <w:r>
        <w:rPr>
          <w:rFonts w:ascii="Arial" w:hAnsi="Arial"/>
          <w:b/>
          <w:color w:val="397CDD"/>
          <w:sz w:val="20"/>
          <w:shd w:fill="E8F0FB"/>
        </w:rPr>
        <w:t>[ANEXO]</w:t>
      </w:r>
      <w:r>
        <w:rPr>
          <w:rFonts w:ascii="Arial" w:hAnsi="Arial"/>
          <w:color w:val="263A43"/>
          <w:sz w:val="20"/>
        </w:rPr>
        <w:t xml:space="preserve">. Se abonará mediante </w:t>
      </w:r>
      <w:r>
        <w:rPr>
          <w:rFonts w:ascii="Arial" w:hAnsi="Arial"/>
          <w:b/>
          <w:color w:val="397CDD"/>
          <w:sz w:val="20"/>
          <w:shd w:fill="E8F0FB"/>
        </w:rPr>
        <w:t>[TRANSFERENCIA U OTRO MEDIO LEGAL IDENTIFICABLE]</w:t>
      </w:r>
      <w:r>
        <w:rPr>
          <w:rFonts w:ascii="Arial" w:hAnsi="Arial"/>
          <w:color w:val="263A43"/>
          <w:sz w:val="20"/>
        </w:rPr>
        <w:t xml:space="preserve"> al otorgar el documento público. No se reconoce recibido ningún importe no entregado. </w:t>
      </w:r>
      <w:r>
        <w:rPr>
          <w:rFonts w:ascii="Arial" w:hAnsi="Arial"/>
          <w:b/>
          <w:color w:val="397CDD"/>
          <w:sz w:val="20"/>
          <w:shd w:fill="E8F0FB"/>
        </w:rPr>
        <w:t>[SOLO SI EXISTE ANTICIPO: importe, fecha y justificante [ ]</w:t>
      </w:r>
      <w:r>
        <w:rPr>
          <w:rFonts w:ascii="Arial" w:hAnsi="Arial"/>
          <w:color w:val="263A43"/>
          <w:sz w:val="20"/>
        </w:rPr>
        <w:t>; tendrá carácter de anticipo del precio, no de arras penitenciales, y se someterá al régimen de devolución de la cláusula cuarta].</w:t>
      </w:r>
    </w:p>
    <w:p>
      <w:pPr>
        <w:jc w:val="both"/>
      </w:pPr>
      <w:r>
        <w:rPr>
          <w:rFonts w:ascii="Arial" w:hAnsi="Arial"/>
          <w:color w:val="263A43"/>
          <w:sz w:val="20"/>
        </w:rPr>
        <w:t>Tercera. Condiciones previas. El cierre queda condicionado a verificar titularidad y cargas, cumplir restricciones legales y estatutarias, obtener consentimientos o documentar el procedimiento de adquisición preferente que proceda, acreditar poderes y superar las comprobaciones de identificación y origen de fondos exigibles. No se impone a la sociedad un consentimiento por este acuerdo entre particulares.</w:t>
      </w:r>
    </w:p>
    <w:p>
      <w:pPr>
        <w:jc w:val="both"/>
      </w:pPr>
      <w:r>
        <w:rPr>
          <w:rFonts w:ascii="Arial" w:hAnsi="Arial"/>
          <w:color w:val="263A43"/>
          <w:sz w:val="20"/>
        </w:rPr>
        <w:t xml:space="preserve">Cuarta. Plazo de preparación. Las partes realizarán diligentemente las comunicaciones y aportarán documentos antes del </w:t>
      </w:r>
      <w:r>
        <w:rPr>
          <w:rFonts w:ascii="Arial" w:hAnsi="Arial"/>
          <w:b/>
          <w:color w:val="397CDD"/>
          <w:sz w:val="20"/>
          <w:shd w:fill="E8F0FB"/>
        </w:rPr>
        <w:t>[FECHA]</w:t>
      </w:r>
      <w:r>
        <w:rPr>
          <w:rFonts w:ascii="Arial" w:hAnsi="Arial"/>
          <w:color w:val="263A43"/>
          <w:sz w:val="20"/>
        </w:rPr>
        <w:t xml:space="preserve">, fijando el otorgamiento no más tarde del </w:t>
      </w:r>
      <w:r>
        <w:rPr>
          <w:rFonts w:ascii="Arial" w:hAnsi="Arial"/>
          <w:b/>
          <w:color w:val="397CDD"/>
          <w:sz w:val="20"/>
          <w:shd w:fill="E8F0FB"/>
        </w:rPr>
        <w:t>[FECHA LÍMITE]</w:t>
      </w:r>
      <w:r>
        <w:rPr>
          <w:rFonts w:ascii="Arial" w:hAnsi="Arial"/>
          <w:color w:val="263A43"/>
          <w:sz w:val="20"/>
        </w:rPr>
        <w:t xml:space="preserve">, salvo prórroga escrita. Si una condición necesaria no se cumple sin incumplimiento imputable de las partes, el acuerdo preparatorio quedará sin efecto y los anticipos se devolverán en </w:t>
      </w:r>
      <w:r>
        <w:rPr>
          <w:rFonts w:ascii="Arial" w:hAnsi="Arial"/>
          <w:b/>
          <w:color w:val="397CDD"/>
          <w:sz w:val="20"/>
          <w:shd w:fill="E8F0FB"/>
        </w:rPr>
        <w:t>[DÍAS]</w:t>
      </w:r>
      <w:r>
        <w:rPr>
          <w:rFonts w:ascii="Arial" w:hAnsi="Arial"/>
          <w:color w:val="263A43"/>
          <w:sz w:val="20"/>
        </w:rPr>
        <w:t>, sin penalidad. Si existe incumplimiento imputable, se aplicarán los remedios y daños acreditados legalmente procedentes, sin atribuir al silencio un desistimiento o consentimiento automático.</w:t>
      </w:r>
    </w:p>
    <w:p>
      <w:pPr>
        <w:jc w:val="both"/>
      </w:pPr>
      <w:r>
        <w:rPr>
          <w:rFonts w:ascii="Arial" w:hAnsi="Arial"/>
          <w:color w:val="263A43"/>
          <w:sz w:val="20"/>
        </w:rPr>
        <w:t>Quinta. Declaraciones y revisión. El transmitente facilitará información veraz sobre titularidad, cargas y restricciones. La adquirente declara haber recibido únicamente la documentación enumerada en el anexo, no una auditoría completa inexistente. Las garantías sobre situación financiera, contingencias o negocio, si se pactan, deberán concretarse en documento adicional revisado; no se presume una exoneración general por firmar este modelo.</w:t>
      </w:r>
    </w:p>
    <w:p>
      <w:pPr>
        <w:jc w:val="both"/>
      </w:pPr>
      <w:r>
        <w:rPr>
          <w:rFonts w:ascii="Arial" w:hAnsi="Arial"/>
          <w:color w:val="263A43"/>
          <w:sz w:val="20"/>
        </w:rPr>
        <w:t>Sexta. Formalización y efectos. La transmisión se documentará en documento público conforme al artículo 106 de la Ley de Sociedades de Capital. Hasta el cierre legalmente eficaz no se ejercitarán derechos de socio por la adquirente basándose solo en este acuerdo preparatorio. Se comunicará la transmisión a la sociedad y se solicitará actualización del libro registro con los títulos y requisitos correspondientes.</w:t>
      </w:r>
    </w:p>
    <w:p>
      <w:pPr>
        <w:jc w:val="both"/>
      </w:pPr>
      <w:r>
        <w:rPr>
          <w:rFonts w:ascii="Arial" w:hAnsi="Arial"/>
          <w:color w:val="263A43"/>
          <w:sz w:val="20"/>
        </w:rPr>
        <w:t xml:space="preserve">Séptima. Gastos, fiscalidad y unipersonalidad. Los gastos de preparación y formalización se distribuirán así </w:t>
      </w:r>
      <w:r>
        <w:rPr>
          <w:rFonts w:ascii="Arial" w:hAnsi="Arial"/>
          <w:b/>
          <w:color w:val="397CDD"/>
          <w:sz w:val="20"/>
          <w:shd w:fill="E8F0FB"/>
        </w:rPr>
        <w:t>[ ]</w:t>
      </w:r>
      <w:r>
        <w:rPr>
          <w:rFonts w:ascii="Arial" w:hAnsi="Arial"/>
          <w:color w:val="263A43"/>
          <w:sz w:val="20"/>
        </w:rPr>
        <w:t>, sin alterar quién sea obligado tributario por ley. Se revisará la tributación de la operación, incluidas excepciones y situaciones inmobiliarias, sin presumir exención universal. Si resulta o cambia una unipersonalidad, se cumplirán sus formalidades y publicidad específicas.</w:t>
      </w:r>
    </w:p>
    <w:p>
      <w:pPr>
        <w:jc w:val="both"/>
      </w:pPr>
      <w:r>
        <w:rPr>
          <w:rFonts w:ascii="Arial" w:hAnsi="Arial"/>
          <w:color w:val="263A43"/>
          <w:sz w:val="20"/>
        </w:rPr>
        <w:t>Octava. Controversias. Derecho español y órganos competentes conforme a la ley, con negociación previa cuando sea exigible y sin impedir medidas urgentes. Ninguna cláusula autoriza adquisición propia o asistencia financiera contrarias a la ley.</w:t>
      </w:r>
    </w:p>
    <w:p>
      <w:pPr>
        <w:jc w:val="both"/>
      </w:pPr>
      <w:r>
        <w:rPr>
          <w:rFonts w:ascii="Arial" w:hAnsi="Arial"/>
          <w:color w:val="263A43"/>
          <w:sz w:val="20"/>
        </w:rPr>
        <w:t xml:space="preserve">Transmitente: </w:t>
      </w:r>
      <w:r>
        <w:rPr>
          <w:rFonts w:ascii="Arial" w:hAnsi="Arial"/>
          <w:b/>
          <w:color w:val="397CDD"/>
          <w:sz w:val="20"/>
          <w:shd w:fill="E8F0FB"/>
        </w:rPr>
        <w:t>[FIRMA]</w:t>
      </w:r>
      <w:r>
        <w:rPr>
          <w:rFonts w:ascii="Arial" w:hAnsi="Arial"/>
          <w:color w:val="263A43"/>
          <w:sz w:val="20"/>
        </w:rPr>
        <w:t xml:space="preserve">. Adquirente: </w:t>
      </w:r>
      <w:r>
        <w:rPr>
          <w:rFonts w:ascii="Arial" w:hAnsi="Arial"/>
          <w:b/>
          <w:color w:val="397CDD"/>
          <w:sz w:val="20"/>
          <w:shd w:fill="E8F0FB"/>
        </w:rPr>
        <w:t>[FIRMA]</w:t>
      </w:r>
      <w:r>
        <w:rPr>
          <w:rFonts w:ascii="Arial" w:hAnsi="Arial"/>
          <w:color w:val="263A43"/>
          <w:sz w:val="20"/>
        </w:rPr>
        <w:t>.</w:t>
      </w:r>
    </w:p>
    <w:p>
      <w:pPr>
        <w:pStyle w:val="Heading2"/>
      </w:pPr>
      <w:r>
        <w:t>ANEXO — COMUNICACIÓN AL ÓRGANO DE ADMINISTRACIÓN</w:t>
      </w:r>
    </w:p>
    <w:p>
      <w:pPr>
        <w:jc w:val="both"/>
      </w:pPr>
      <w:r>
        <w:rPr>
          <w:rFonts w:ascii="Arial" w:hAnsi="Arial"/>
          <w:color w:val="263A43"/>
          <w:sz w:val="20"/>
        </w:rPr>
        <w:t xml:space="preserve">A </w:t>
      </w:r>
      <w:r>
        <w:rPr>
          <w:rFonts w:ascii="Arial" w:hAnsi="Arial"/>
          <w:b/>
          <w:color w:val="397CDD"/>
          <w:sz w:val="20"/>
          <w:shd w:fill="E8F0FB"/>
        </w:rPr>
        <w:t>[ADMINISTRADORES DE LA SOCIEDAD]</w:t>
      </w:r>
      <w:r>
        <w:rPr>
          <w:rFonts w:ascii="Arial" w:hAnsi="Arial"/>
          <w:color w:val="263A43"/>
          <w:sz w:val="20"/>
        </w:rPr>
        <w:t xml:space="preserve">. Quien suscribe, </w:t>
      </w:r>
      <w:r>
        <w:rPr>
          <w:rFonts w:ascii="Arial" w:hAnsi="Arial"/>
          <w:b/>
          <w:color w:val="397CDD"/>
          <w:sz w:val="20"/>
          <w:shd w:fill="E8F0FB"/>
        </w:rPr>
        <w:t>[SOCIO]</w:t>
      </w:r>
      <w:r>
        <w:rPr>
          <w:rFonts w:ascii="Arial" w:hAnsi="Arial"/>
          <w:color w:val="263A43"/>
          <w:sz w:val="20"/>
        </w:rPr>
        <w:t xml:space="preserve">, comunica su intención de transmitir </w:t>
      </w:r>
      <w:r>
        <w:rPr>
          <w:rFonts w:ascii="Arial" w:hAnsi="Arial"/>
          <w:b/>
          <w:color w:val="397CDD"/>
          <w:sz w:val="20"/>
          <w:shd w:fill="E8F0FB"/>
        </w:rPr>
        <w:t>[NÚMERO Y NUMERACIÓN]</w:t>
      </w:r>
      <w:r>
        <w:rPr>
          <w:rFonts w:ascii="Arial" w:hAnsi="Arial"/>
          <w:color w:val="263A43"/>
          <w:sz w:val="20"/>
        </w:rPr>
        <w:t xml:space="preserve"> participaciones a </w:t>
      </w:r>
      <w:r>
        <w:rPr>
          <w:rFonts w:ascii="Arial" w:hAnsi="Arial"/>
          <w:b/>
          <w:color w:val="397CDD"/>
          <w:sz w:val="20"/>
          <w:shd w:fill="E8F0FB"/>
        </w:rPr>
        <w:t>[ADQUIRENTE, IDENTIDAD Y DOMICILIO]</w:t>
      </w:r>
      <w:r>
        <w:rPr>
          <w:rFonts w:ascii="Arial" w:hAnsi="Arial"/>
          <w:color w:val="263A43"/>
          <w:sz w:val="20"/>
        </w:rPr>
        <w:t xml:space="preserve">, por precio </w:t>
      </w:r>
      <w:r>
        <w:rPr>
          <w:rFonts w:ascii="Arial" w:hAnsi="Arial"/>
          <w:b/>
          <w:color w:val="397CDD"/>
          <w:sz w:val="20"/>
          <w:shd w:fill="E8F0FB"/>
        </w:rPr>
        <w:t>[ ]</w:t>
      </w:r>
      <w:r>
        <w:rPr>
          <w:rFonts w:ascii="Arial" w:hAnsi="Arial"/>
          <w:color w:val="263A43"/>
          <w:sz w:val="20"/>
        </w:rPr>
        <w:t xml:space="preserve"> y condiciones </w:t>
      </w:r>
      <w:r>
        <w:rPr>
          <w:rFonts w:ascii="Arial" w:hAnsi="Arial"/>
          <w:b/>
          <w:color w:val="397CDD"/>
          <w:sz w:val="20"/>
          <w:shd w:fill="E8F0FB"/>
        </w:rPr>
        <w:t>[FORMA DE PAGO Y RESTANTES CONDICIONES]</w:t>
      </w:r>
      <w:r>
        <w:rPr>
          <w:rFonts w:ascii="Arial" w:hAnsi="Arial"/>
          <w:color w:val="263A43"/>
          <w:sz w:val="20"/>
        </w:rPr>
        <w:t xml:space="preserve">. Se acompañan </w:t>
      </w:r>
      <w:r>
        <w:rPr>
          <w:rFonts w:ascii="Arial" w:hAnsi="Arial"/>
          <w:b/>
          <w:color w:val="397CDD"/>
          <w:sz w:val="20"/>
          <w:shd w:fill="E8F0FB"/>
        </w:rPr>
        <w:t>[DOCUMENTOS]</w:t>
      </w:r>
      <w:r>
        <w:rPr>
          <w:rFonts w:ascii="Arial" w:hAnsi="Arial"/>
          <w:color w:val="263A43"/>
          <w:sz w:val="20"/>
        </w:rPr>
        <w:t xml:space="preserve"> y se solicita tramitar el régimen legal y estatutario aplicable, informar de acuerdos y personas con derecho de adquisición y facilitar constancia documental del resultado. Esta comunicación no afirma consumada la transmisión ni concede por sí misma autorización.</w:t>
      </w:r>
    </w:p>
    <w:p>
      <w:pPr>
        <w:jc w:val="both"/>
      </w:pPr>
      <w:r>
        <w:rPr>
          <w:rFonts w:ascii="Arial" w:hAnsi="Arial"/>
          <w:color w:val="263A43"/>
          <w:sz w:val="20"/>
        </w:rPr>
        <w:t xml:space="preserve">En </w:t>
      </w:r>
      <w:r>
        <w:rPr>
          <w:rFonts w:ascii="Arial" w:hAnsi="Arial"/>
          <w:b/>
          <w:color w:val="397CDD"/>
          <w:sz w:val="20"/>
          <w:shd w:fill="E8F0FB"/>
        </w:rPr>
        <w:t>[LOCALIDAD]</w:t>
      </w:r>
      <w:r>
        <w:rPr>
          <w:rFonts w:ascii="Arial" w:hAnsi="Arial"/>
          <w:color w:val="263A43"/>
          <w:sz w:val="20"/>
        </w:rPr>
        <w:t xml:space="preserve">, a </w:t>
      </w:r>
      <w:r>
        <w:rPr>
          <w:rFonts w:ascii="Arial" w:hAnsi="Arial"/>
          <w:b/>
          <w:color w:val="397CDD"/>
          <w:sz w:val="20"/>
          <w:shd w:fill="E8F0FB"/>
        </w:rPr>
        <w:t>[FECHA]</w:t>
      </w:r>
      <w:r>
        <w:rPr>
          <w:rFonts w:ascii="Arial" w:hAnsi="Arial"/>
          <w:color w:val="263A43"/>
          <w:sz w:val="20"/>
        </w:rPr>
        <w:t xml:space="preserve">. Firma del socio transmitente: </w:t>
      </w:r>
      <w:r>
        <w:rPr>
          <w:rFonts w:ascii="Arial" w:hAnsi="Arial"/>
          <w:b/>
          <w:color w:val="397CDD"/>
          <w:sz w:val="20"/>
          <w:shd w:fill="E8F0FB"/>
        </w:rPr>
        <w:t>[ ]</w:t>
      </w:r>
      <w:r>
        <w:rPr>
          <w:rFonts w:ascii="Arial" w:hAnsi="Arial"/>
          <w:color w:val="263A43"/>
          <w:sz w:val="20"/>
        </w:rPr>
        <w:t>.</w:t>
      </w:r>
    </w:p>
    <w:p>
      <w:r>
        <w:br w:type="page"/>
      </w:r>
    </w:p>
    <w:p>
      <w:pPr>
        <w:pStyle w:val="Heading1"/>
        <w:jc w:val="center"/>
      </w:pPr>
      <w:r>
        <w:t>GUÍA DE REVISIÓN · NO ADJUNTAR AL ESCRITO</w:t>
      </w:r>
    </w:p>
    <w:p>
      <w:pPr>
        <w:pStyle w:val="Heading2"/>
      </w:pPr>
      <w:r>
        <w:t>Finalidad</w:t>
      </w:r>
    </w:p>
    <w:p>
      <w:pPr>
        <w:jc w:val="both"/>
      </w:pPr>
      <w:r>
        <w:rPr>
          <w:rFonts w:ascii="Arial" w:hAnsi="Arial"/>
          <w:color w:val="263A43"/>
          <w:sz w:val="20"/>
        </w:rPr>
        <w:t>Preparar una compraventa de participaciones de SL sujeta a requisitos societarios y formalización pública, con comunicación al órgano de administración.</w:t>
      </w:r>
    </w:p>
    <w:p>
      <w:pPr>
        <w:pStyle w:val="Heading2"/>
      </w:pPr>
      <w:r>
        <w:t>Cuándo utilizarlo</w:t>
      </w:r>
    </w:p>
    <w:p>
      <w:pPr>
        <w:jc w:val="both"/>
      </w:pPr>
      <w:r>
        <w:rPr>
          <w:rFonts w:ascii="Arial" w:hAnsi="Arial"/>
          <w:color w:val="263A43"/>
          <w:sz w:val="20"/>
        </w:rPr>
        <w:t>Compraventa inter vivos de participaciones de SL, con títulos, estatutos, precio y condiciones revisados antes de formalizar.</w:t>
      </w:r>
    </w:p>
    <w:p>
      <w:pPr>
        <w:pStyle w:val="Heading2"/>
      </w:pPr>
      <w:r>
        <w:t>Cuándo no utilizarlo</w:t>
      </w:r>
    </w:p>
    <w:p>
      <w:pPr>
        <w:jc w:val="both"/>
      </w:pPr>
      <w:r>
        <w:rPr>
          <w:rFonts w:ascii="Arial" w:hAnsi="Arial"/>
          <w:color w:val="263A43"/>
          <w:sz w:val="20"/>
        </w:rPr>
        <w:t>Acciones de SA, herencia/donación, adquisición por la propia sociedad, asistencia financiera prohibida, participaciones litigiosas o operación inmobiliaria/cross-border compleja sin estudio.</w:t>
      </w:r>
    </w:p>
    <w:p>
      <w:pPr>
        <w:pStyle w:val="Heading2"/>
      </w:pPr>
      <w:r>
        <w:t>Plazos</w:t>
      </w:r>
    </w:p>
    <w:p>
      <w:pPr>
        <w:jc w:val="both"/>
      </w:pPr>
      <w:r>
        <w:rPr>
          <w:rFonts w:ascii="Arial" w:hAnsi="Arial"/>
          <w:color w:val="263A43"/>
          <w:sz w:val="20"/>
        </w:rPr>
        <w:t>Comprobar restricciones estatutarias y plazos legales de comunicación/adquisición preferente antes del cierre. Fijar fecha límite realista; no presumir autorización por cualquier silencio.</w:t>
      </w:r>
    </w:p>
    <w:p>
      <w:pPr>
        <w:pStyle w:val="Heading2"/>
      </w:pPr>
      <w:r>
        <w:t>Dónde y cómo presentarlo</w:t>
      </w:r>
    </w:p>
    <w:p>
      <w:pPr>
        <w:jc w:val="both"/>
      </w:pPr>
      <w:r>
        <w:rPr>
          <w:rFonts w:ascii="Arial" w:hAnsi="Arial"/>
          <w:color w:val="263A43"/>
          <w:sz w:val="20"/>
        </w:rPr>
        <w:t>Comunicación documentada a administradores; acuerdos y renuncias necesarios; documento público ante notario y actualización del libro registro. No toda transmisión se inscribe individualmente en el Registro Mercantil.</w:t>
      </w:r>
    </w:p>
    <w:p>
      <w:pPr>
        <w:pStyle w:val="Heading2"/>
      </w:pPr>
      <w:r>
        <w:t>Intervención y revisión profesional</w:t>
      </w:r>
    </w:p>
    <w:p>
      <w:pPr>
        <w:jc w:val="both"/>
      </w:pPr>
      <w:r>
        <w:rPr>
          <w:rFonts w:ascii="Arial" w:hAnsi="Arial"/>
          <w:color w:val="263A43"/>
          <w:sz w:val="20"/>
        </w:rPr>
        <w:t>REVISIÓN PROFESIONAL OBLIGATORIA por seguridad editorial. Documento público exigible y actuación notarial correspondiente; revisión fiscal y de titularidad imprescindible.</w:t>
      </w:r>
    </w:p>
    <w:p>
      <w:pPr>
        <w:pStyle w:val="Heading2"/>
      </w:pPr>
      <w:r>
        <w:t>Documentación</w:t>
      </w:r>
    </w:p>
    <w:p>
      <w:pPr>
        <w:jc w:val="both"/>
      </w:pPr>
      <w:r>
        <w:rPr>
          <w:rFonts w:ascii="Arial" w:hAnsi="Arial"/>
          <w:color w:val="263A43"/>
          <w:sz w:val="20"/>
        </w:rPr>
        <w:t>Escritura y estatutos; libro de socios; títulos y numeración; cargas/usufructos; identidad y poderes; precio/origen de fondos; comunicaciones y consentimientos; información financiera.</w:t>
      </w:r>
    </w:p>
    <w:p>
      <w:pPr>
        <w:pStyle w:val="Heading2"/>
      </w:pPr>
      <w:r>
        <w:t>Auditoría de seguridad</w:t>
      </w:r>
    </w:p>
    <w:p>
      <w:pPr>
        <w:jc w:val="both"/>
      </w:pPr>
      <w:r>
        <w:rPr>
          <w:rFonts w:ascii="Arial" w:hAnsi="Arial"/>
          <w:color w:val="263A43"/>
          <w:sz w:val="20"/>
        </w:rPr>
        <w:t>No se ofrece una falsa escritura privada sustitutiva del documento público del art. 106 LSC. Se entrega acuerdo preparatorio condicionado y comunicación societaria, excluyendo transmisión consumada automática.</w:t>
      </w:r>
    </w:p>
    <w:p>
      <w:pPr>
        <w:pStyle w:val="Heading2"/>
      </w:pPr>
      <w:r>
        <w:t>Advertencias específicas</w:t>
      </w:r>
    </w:p>
    <w:p>
      <w:pPr>
        <w:jc w:val="both"/>
      </w:pPr>
      <w:r>
        <w:rPr>
          <w:rFonts w:ascii="Arial" w:hAnsi="Arial"/>
          <w:color w:val="263A43"/>
          <w:sz w:val="20"/>
        </w:rPr>
        <w:t>Ámbito: sociedad limitada española no cotizada, salvo indicación distinta. Comprobar estatutos, libro registro, poderes, conflictos de interés, situación patrimonial y fiscalidad. No dar por celebrada una junta, realizado un pago ni otorgada una escritura que no existan. El modelo no sustituye certificaciones, formularios registrales, asesoramiento fiscal ni documento público exigible.</w:t>
      </w:r>
    </w:p>
    <w:p>
      <w:pPr>
        <w:pStyle w:val="Heading2"/>
      </w:pPr>
      <w:r>
        <w:t>Cumplimentación</w:t>
      </w:r>
    </w:p>
    <w:p>
      <w:pPr>
        <w:jc w:val="both"/>
      </w:pPr>
      <w:r>
        <w:rPr>
          <w:rFonts w:ascii="Arial" w:hAnsi="Arial"/>
          <w:color w:val="263A43"/>
          <w:sz w:val="20"/>
        </w:rPr>
        <w:t>Sustituya todos los campos entre corchetes por datos comprobados. Repita filas o registros de los anexos cuando sea necesario. Conserve una sola alternativa cuando se indique. Elimine controles internos, instrucciones y guía antes de enviar; revise cifras, plazos, representación, destinatario y firmas. No antedate ni afirme pagos, acuerdos o notificaciones inexistentes.</w:t>
      </w:r>
    </w:p>
    <w:p>
      <w:pPr>
        <w:pStyle w:val="Heading2"/>
      </w:pPr>
      <w:r>
        <w:t>Campos editables</w:t>
      </w:r>
    </w:p>
    <w:p>
      <w:pPr>
        <w:pStyle w:val="ListBullet"/>
      </w:pPr>
      <w:r>
        <w:rPr>
          <w:rFonts w:ascii="Arial" w:hAnsi="Arial"/>
          <w:color w:val="263A43"/>
          <w:sz w:val="20"/>
        </w:rPr>
        <w:t>SOCIEDAD</w:t>
      </w:r>
    </w:p>
    <w:p>
      <w:pPr>
        <w:pStyle w:val="ListBullet"/>
      </w:pPr>
      <w:r>
        <w:rPr>
          <w:rFonts w:ascii="Arial" w:hAnsi="Arial"/>
          <w:color w:val="263A43"/>
          <w:sz w:val="20"/>
        </w:rPr>
        <w:t>LOCALIDAD</w:t>
      </w:r>
    </w:p>
    <w:p>
      <w:pPr>
        <w:pStyle w:val="ListBullet"/>
      </w:pPr>
      <w:r>
        <w:rPr>
          <w:rFonts w:ascii="Arial" w:hAnsi="Arial"/>
          <w:color w:val="263A43"/>
          <w:sz w:val="20"/>
        </w:rPr>
        <w:t>FECHA</w:t>
      </w:r>
    </w:p>
    <w:p>
      <w:pPr>
        <w:pStyle w:val="ListBullet"/>
      </w:pPr>
      <w:r>
        <w:rPr>
          <w:rFonts w:ascii="Arial" w:hAnsi="Arial"/>
          <w:color w:val="263A43"/>
          <w:sz w:val="20"/>
        </w:rPr>
        <w:t>IDENTIDAD, NIF, DOMICILIO Y REPRESENTACIÓN</w:t>
      </w:r>
    </w:p>
    <w:p>
      <w:pPr>
        <w:pStyle w:val="ListBullet"/>
      </w:pPr>
      <w:r>
        <w:rPr>
          <w:rFonts w:ascii="Arial" w:hAnsi="Arial"/>
          <w:color w:val="263A43"/>
          <w:sz w:val="20"/>
        </w:rPr>
        <w:t>DENOMINACIÓN, NIF, DOMICILIO Y DATOS REGISTRALES</w:t>
      </w:r>
    </w:p>
    <w:p>
      <w:pPr>
        <w:pStyle w:val="ListBullet"/>
      </w:pPr>
      <w:r>
        <w:rPr>
          <w:rFonts w:ascii="Arial" w:hAnsi="Arial"/>
          <w:color w:val="263A43"/>
          <w:sz w:val="20"/>
        </w:rPr>
        <w:t>NÚMERO</w:t>
      </w:r>
    </w:p>
    <w:p>
      <w:pPr>
        <w:pStyle w:val="ListBullet"/>
      </w:pPr>
      <w:r>
        <w:rPr>
          <w:rFonts w:ascii="Arial" w:hAnsi="Arial"/>
          <w:color w:val="263A43"/>
          <w:sz w:val="20"/>
        </w:rPr>
        <w:t>DESDE/HASTA O RELACIÓN</w:t>
      </w:r>
    </w:p>
    <w:p>
      <w:pPr>
        <w:pStyle w:val="ListBullet"/>
      </w:pPr>
      <w:r>
        <w:rPr>
          <w:rFonts w:ascii="Arial" w:hAnsi="Arial"/>
          <w:color w:val="263A43"/>
          <w:sz w:val="20"/>
        </w:rPr>
        <w:t>VALOR NOMINAL</w:t>
      </w:r>
    </w:p>
    <w:p>
      <w:pPr>
        <w:jc w:val="both"/>
      </w:pPr>
      <w:r>
        <w:rPr>
          <w:rFonts w:ascii="Arial" w:hAnsi="Arial"/>
          <w:color w:val="263A43"/>
          <w:sz w:val="20"/>
        </w:rPr>
        <w:t>-</w:t>
      </w:r>
    </w:p>
    <w:p>
      <w:pPr>
        <w:pStyle w:val="ListBullet"/>
      </w:pPr>
      <w:r>
        <w:rPr>
          <w:rFonts w:ascii="Arial" w:hAnsi="Arial"/>
          <w:color w:val="263A43"/>
          <w:sz w:val="20"/>
        </w:rPr>
        <w:t>DOCUMENTO Y FECHA</w:t>
      </w:r>
    </w:p>
    <w:p>
      <w:pPr>
        <w:pStyle w:val="ListBullet"/>
      </w:pPr>
      <w:r>
        <w:rPr>
          <w:rFonts w:ascii="Arial" w:hAnsi="Arial"/>
          <w:color w:val="263A43"/>
          <w:sz w:val="20"/>
        </w:rPr>
        <w:t>IDENTIFICAR; NO AFIRMAR AUSENCIA SIN COMPROBACIÓN</w:t>
      </w:r>
    </w:p>
    <w:p>
      <w:pPr>
        <w:pStyle w:val="ListBullet"/>
      </w:pPr>
      <w:r>
        <w:rPr>
          <w:rFonts w:ascii="Arial" w:hAnsi="Arial"/>
          <w:color w:val="263A43"/>
          <w:sz w:val="20"/>
        </w:rPr>
        <w:t>IMPORTE</w:t>
      </w:r>
    </w:p>
    <w:p>
      <w:pPr>
        <w:pStyle w:val="ListBullet"/>
      </w:pPr>
      <w:r>
        <w:rPr>
          <w:rFonts w:ascii="Arial" w:hAnsi="Arial"/>
          <w:color w:val="263A43"/>
          <w:sz w:val="20"/>
        </w:rPr>
        <w:t>ANEXO</w:t>
      </w:r>
    </w:p>
    <w:p>
      <w:pPr>
        <w:pStyle w:val="ListBullet"/>
      </w:pPr>
      <w:r>
        <w:rPr>
          <w:rFonts w:ascii="Arial" w:hAnsi="Arial"/>
          <w:color w:val="263A43"/>
          <w:sz w:val="20"/>
        </w:rPr>
        <w:t>TRANSFERENCIA U OTRO MEDIO LEGAL IDENTIFICABLE</w:t>
      </w:r>
    </w:p>
    <w:p>
      <w:pPr>
        <w:pStyle w:val="ListBullet"/>
      </w:pPr>
      <w:r>
        <w:rPr>
          <w:rFonts w:ascii="Arial" w:hAnsi="Arial"/>
          <w:color w:val="263A43"/>
          <w:sz w:val="20"/>
        </w:rPr>
        <w:t>SOLO SI EXISTE ANTICIPO: importe, fecha y justificante [</w:t>
      </w:r>
    </w:p>
    <w:p>
      <w:pPr>
        <w:pStyle w:val="ListBullet"/>
      </w:pPr>
      <w:r>
        <w:rPr>
          <w:rFonts w:ascii="Arial" w:hAnsi="Arial"/>
          <w:color w:val="263A43"/>
          <w:sz w:val="20"/>
        </w:rPr>
        <w:t>FECHA LÍMITE</w:t>
      </w:r>
    </w:p>
    <w:p>
      <w:pPr>
        <w:pStyle w:val="ListBullet"/>
      </w:pPr>
      <w:r>
        <w:rPr>
          <w:rFonts w:ascii="Arial" w:hAnsi="Arial"/>
          <w:color w:val="263A43"/>
          <w:sz w:val="20"/>
        </w:rPr>
        <w:t>DÍAS</w:t>
      </w:r>
    </w:p>
    <w:p>
      <w:pPr>
        <w:pStyle w:val="ListBullet"/>
      </w:pPr>
      <w:r>
        <w:rPr>
          <w:rFonts w:ascii="Arial" w:hAnsi="Arial"/>
          <w:color w:val="263A43"/>
          <w:sz w:val="20"/>
        </w:rPr>
        <w:t>FIRMA</w:t>
      </w:r>
    </w:p>
    <w:p>
      <w:pPr>
        <w:pStyle w:val="ListBullet"/>
      </w:pPr>
      <w:r>
        <w:rPr>
          <w:rFonts w:ascii="Arial" w:hAnsi="Arial"/>
          <w:color w:val="263A43"/>
          <w:sz w:val="20"/>
        </w:rPr>
        <w:t>ADMINISTRADORES DE LA SOCIEDAD</w:t>
      </w:r>
    </w:p>
    <w:p>
      <w:pPr>
        <w:pStyle w:val="ListBullet"/>
      </w:pPr>
      <w:r>
        <w:rPr>
          <w:rFonts w:ascii="Arial" w:hAnsi="Arial"/>
          <w:color w:val="263A43"/>
          <w:sz w:val="20"/>
        </w:rPr>
        <w:t>SOCIO</w:t>
      </w:r>
    </w:p>
    <w:p>
      <w:pPr>
        <w:pStyle w:val="ListBullet"/>
      </w:pPr>
      <w:r>
        <w:rPr>
          <w:rFonts w:ascii="Arial" w:hAnsi="Arial"/>
          <w:color w:val="263A43"/>
          <w:sz w:val="20"/>
        </w:rPr>
        <w:t>NÚMERO Y NUMERACIÓN</w:t>
      </w:r>
    </w:p>
    <w:p>
      <w:pPr>
        <w:pStyle w:val="ListBullet"/>
      </w:pPr>
      <w:r>
        <w:rPr>
          <w:rFonts w:ascii="Arial" w:hAnsi="Arial"/>
          <w:color w:val="263A43"/>
          <w:sz w:val="20"/>
        </w:rPr>
        <w:t>ADQUIRENTE, IDENTIDAD Y DOMICILIO</w:t>
      </w:r>
    </w:p>
    <w:p>
      <w:pPr>
        <w:pStyle w:val="ListBullet"/>
      </w:pPr>
      <w:r>
        <w:rPr>
          <w:rFonts w:ascii="Arial" w:hAnsi="Arial"/>
          <w:color w:val="263A43"/>
          <w:sz w:val="20"/>
        </w:rPr>
        <w:t>FORMA DE PAGO Y RESTANTES CONDICIONES</w:t>
      </w:r>
    </w:p>
    <w:p>
      <w:pPr>
        <w:pStyle w:val="ListBullet"/>
      </w:pPr>
      <w:r>
        <w:rPr>
          <w:rFonts w:ascii="Arial" w:hAnsi="Arial"/>
          <w:color w:val="263A43"/>
          <w:sz w:val="20"/>
        </w:rPr>
        <w:t>DOCUMENTOS</w:t>
      </w:r>
    </w:p>
    <w:p>
      <w:pPr>
        <w:pStyle w:val="Heading2"/>
      </w:pPr>
      <w:r>
        <w:t>Fuentes oficiales</w:t>
      </w:r>
    </w:p>
    <w:p>
      <w:pPr>
        <w:pStyle w:val="ListBullet"/>
      </w:pPr>
      <w:r>
        <w:rPr>
          <w:rFonts w:ascii="Arial" w:hAnsi="Arial"/>
          <w:color w:val="263A43"/>
          <w:sz w:val="20"/>
        </w:rPr>
        <w:t>RDL 1/2010, texto refundido de la Ley de Sociedades de Capital — https://www.boe.es/buscar/act.php?id=BOE-A-2010-10544: arts. 12 a 16, 104 a 112 y 143.</w:t>
      </w:r>
    </w:p>
    <w:p>
      <w:pPr>
        <w:pStyle w:val="ListBullet"/>
      </w:pPr>
      <w:r>
        <w:rPr>
          <w:rFonts w:ascii="Arial" w:hAnsi="Arial"/>
          <w:color w:val="263A43"/>
          <w:sz w:val="20"/>
        </w:rPr>
        <w:t>Código Civil — https://www.boe.es/buscar/act.php?id=BOE-A-1889-4763: arts. 1255, 1261, 1278 a 1280 y 1445 y siguientes.</w:t>
      </w:r>
    </w:p>
    <w:p>
      <w:pPr>
        <w:pStyle w:val="ListBullet"/>
      </w:pPr>
      <w:r>
        <w:rPr>
          <w:rFonts w:ascii="Arial" w:hAnsi="Arial"/>
          <w:color w:val="263A43"/>
          <w:sz w:val="20"/>
        </w:rPr>
        <w:t>RD 1784/1996, Reglamento del Registro Mercantil — https://www.boe.es/eli/es/rd/1996/07/19/1784/con: publicidad de unipersonalidad y formalidades registrales que procedan.</w:t>
      </w:r>
    </w:p>
    <w:p>
      <w:pPr>
        <w:pStyle w:val="ListBullet"/>
      </w:pPr>
      <w:r>
        <w:rPr>
          <w:rFonts w:ascii="Arial" w:hAnsi="Arial"/>
          <w:color w:val="263A43"/>
          <w:sz w:val="20"/>
        </w:rPr>
        <w:t>Ley Orgánica 1/2025, de eficiencia del Servicio Público de Justicia — https://www.boe.es/buscar/act.php?id=BOE-A-2025-76: arts. 2 a 10, cuando proceda negociación previa.</w:t>
      </w:r>
    </w:p>
    <w:p>
      <w:pPr>
        <w:jc w:val="both"/>
      </w:pPr>
      <w:r>
        <w:rPr>
          <w:rFonts w:ascii="Arial" w:hAnsi="Arial"/>
          <w:color w:val="263A43"/>
          <w:sz w:val="20"/>
        </w:rPr>
        <w:t>Revisión normativa documental: 13 de septiembre de 2026. Comprueba la normativa, el procedimiento y los datos del caso antes de utilizarlo. Plantilla general: completar, contrastar documentos y eliminar las alternativas no aplicables. No garantiza un resultado ni sustituye actuaciones profesionales o formularios obligatorios.</w:t>
      </w:r>
    </w:p>
    <w:p>
      <w:pPr>
        <w:jc w:val="both"/>
      </w:pPr>
      <w:r>
        <w:rPr>
          <w:rFonts w:ascii="Arial" w:hAnsi="Arial"/>
          <w:color w:val="263A43"/>
          <w:sz w:val="20"/>
        </w:rPr>
        <w:t>El contraste se ha efectuado sobre las fuentes oficiales identificadas, no sobre todos los regímenes territoriales, convenios privados, bases de convocatoria, estatutos o jurisprudencia posible. Las versiones consolidadas facilitan la consulta pero debe comprobarse la publicación oficial y la vigencia temporal del precepto aplicable. No se ha efectuado una auditoría de duplicidades del catálogo actualmente publicado en la web.</w:t>
      </w:r>
    </w:p>
    <w:p>
      <w:pPr>
        <w:pStyle w:val="Heading1"/>
      </w:pPr>
      <w:r>
        <w:t>Fuentes oficiales verificadas</w:t>
      </w:r>
    </w:p>
    <w:p>
      <w:r>
        <w:rPr>
          <w:rFonts w:ascii="Arial" w:hAnsi="Arial"/>
          <w:i/>
          <w:color w:val="68777D"/>
          <w:sz w:val="16"/>
        </w:rPr>
        <w:t>Revisión documental: 13 de septiembre de 2026. Comprueba vigencia, competencia, procedimiento y plazo en la fecha de uso.</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102E3C"/>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102E3C"/>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80"/>
      <w:contextualSpacing/>
    </w:pPr>
    <w:rPr>
      <w:rFonts w:asciiTheme="majorHAnsi" w:eastAsiaTheme="majorEastAsia" w:hAnsiTheme="majorHAnsi" w:cstheme="majorBidi" w:ascii="Georgia" w:hAnsi="Georgia"/>
      <w:b/>
      <w:color w:val="102E3C"/>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Modelo jurídico editable de Pérez &amp; Burgos Abogados</dc:description>
  <cp:lastModifiedBy/>
  <cp:revision>1</cp:revision>
  <dcterms:created xsi:type="dcterms:W3CDTF">2013-12-23T23:15:00Z</dcterms:created>
  <dcterms:modified xsi:type="dcterms:W3CDTF">2013-12-23T23:15:00Z</dcterms:modified>
  <cp:category/>
</cp:coreProperties>
</file>