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val="0"/>
        <w:widowControl/>
        <w:spacing w:after="100"/>
      </w:pPr>
      <w:r>
        <w:rPr>
          <w:b/>
          <w:color w:val="123D43"/>
          <w:sz w:val="18"/>
        </w:rPr>
        <w:t>INMOBILIARIO</w:t>
      </w:r>
    </w:p>
    <w:p>
      <w:pPr>
        <w:pStyle w:val="Title"/>
        <w:keepLines w:val="0"/>
        <w:widowControl/>
        <w:spacing w:after="180"/>
        <w:jc w:val="center"/>
      </w:pPr>
      <w:r>
        <w:rPr>
          <w:rFonts w:ascii="Georgia" w:hAnsi="Georgia"/>
          <w:b/>
          <w:color w:val="000000"/>
          <w:sz w:val="42"/>
        </w:rPr>
        <w:t>Solicitud de documentación antes de comprar una vivienda</w:t>
      </w:r>
    </w:p>
    <w:p>
      <w:pPr>
        <w:keepLines w:val="0"/>
        <w:widowControl/>
        <w:spacing w:after="160"/>
      </w:pPr>
      <w:r>
        <w:t>Pide la documentación pertinente para comprobar la operación antes de aceptar condiciones o entregar cantidades.</w:t>
      </w:r>
    </w:p>
    <w:p>
      <w:pPr>
        <w:pStyle w:val="Heading1"/>
        <w:keepNext/>
        <w:keepLines w:val="0"/>
        <w:widowControl/>
        <w:spacing w:before="160" w:after="80"/>
        <w:jc w:val="center"/>
      </w:pPr>
      <w:r>
        <w:rPr>
          <w:rFonts w:ascii="Arial" w:hAnsi="Arial"/>
          <w:b/>
          <w:color w:val="000000"/>
          <w:sz w:val="24"/>
        </w:rPr>
        <w:t>Instrucciones que debes separar de la plantilla</w:t>
      </w:r>
    </w:p>
    <w:p>
      <w:pPr>
        <w:keepLines w:val="0"/>
        <w:widowControl/>
        <w:spacing w:after="100"/>
      </w:pPr>
      <w:r>
        <w:t>Utiliza esta solicitud para identificar qué información necesitas del vendedor o intermediario y qué debe obtenerse de un registro, comunidad o administración. Solicitar documentos no acredita que la vivienda esté revisada ni sustituye el asesoramiento técnico o jurídico.</w:t>
      </w:r>
    </w:p>
    <w:p>
      <w:pPr>
        <w:pStyle w:val="Heading2"/>
        <w:keepNext/>
        <w:keepLines w:val="0"/>
        <w:widowControl/>
        <w:spacing w:before="160" w:after="80"/>
      </w:pPr>
      <w:r>
        <w:rPr>
          <w:rFonts w:ascii="Arial" w:hAnsi="Arial"/>
          <w:b/>
          <w:color w:val="000000"/>
          <w:sz w:val="21"/>
        </w:rPr>
        <w:t>Ajusta la petición a la operación</w:t>
      </w:r>
    </w:p>
    <w:p>
      <w:pPr>
        <w:keepLines w:val="0"/>
        <w:widowControl/>
        <w:spacing w:after="80"/>
      </w:pPr>
      <w:r>
        <w:t>Indica vivienda, garaje y trastero solo si forman parte de la compra. Distingue vivienda usada, obra nueva o sobre plano. El RD 515/1989 tiene un ámbito ligado a actividades empresariales o profesionales; no convierte cada petición en una obligación idéntica para cualquier vendedor particular.</w:t>
      </w:r>
    </w:p>
    <w:p>
      <w:pPr>
        <w:pStyle w:val="Heading2"/>
        <w:keepNext/>
        <w:keepLines w:val="0"/>
        <w:widowControl/>
        <w:spacing w:before="160" w:after="80"/>
      </w:pPr>
      <w:r>
        <w:rPr>
          <w:rFonts w:ascii="Arial" w:hAnsi="Arial"/>
          <w:b/>
          <w:color w:val="000000"/>
          <w:sz w:val="21"/>
        </w:rPr>
        <w:t>Datos necesarios y canal seguro</w:t>
      </w:r>
    </w:p>
    <w:p>
      <w:pPr>
        <w:keepLines w:val="0"/>
        <w:widowControl/>
        <w:spacing w:after="80"/>
      </w:pPr>
      <w:r>
        <w:t>Pide documentos pertinentes y permite ocultar datos ajenos a la operación. No solicites por defecto copias completas del DNI, cuentas bancarias, historiales de vecinos o documentación de terceros. Para representación, herencia, sociedad o titularidad compartida, encarga la comprobación específica.</w:t>
      </w:r>
    </w:p>
    <w:p>
      <w:pPr>
        <w:pStyle w:val="Heading2"/>
        <w:keepNext/>
        <w:keepLines w:val="0"/>
        <w:widowControl/>
        <w:spacing w:before="160" w:after="80"/>
      </w:pPr>
      <w:r>
        <w:rPr>
          <w:rFonts w:ascii="Arial" w:hAnsi="Arial"/>
          <w:b/>
          <w:color w:val="000000"/>
          <w:sz w:val="21"/>
        </w:rPr>
        <w:t>Ejemplo ficticio que debes eliminar</w:t>
      </w:r>
    </w:p>
    <w:p>
      <w:pPr>
        <w:keepLines w:val="0"/>
        <w:widowControl/>
        <w:spacing w:after="80"/>
      </w:pPr>
      <w:r>
        <w:t>La oferta incluye una plaza de garaje, pero el borrador solo identifica la vivienda. Solicita el título y la identificación registral de ambos elementos y que se aclare qué se vende; no des por incluido el garaje por una fotografía.</w:t>
      </w:r>
    </w:p>
    <w:p>
      <w:pPr>
        <w:pStyle w:val="Heading2"/>
        <w:keepNext/>
        <w:keepLines w:val="0"/>
        <w:widowControl/>
        <w:spacing w:before="160" w:after="80"/>
      </w:pPr>
      <w:r>
        <w:rPr>
          <w:rFonts w:ascii="Arial" w:hAnsi="Arial"/>
          <w:b/>
          <w:color w:val="000000"/>
          <w:sz w:val="21"/>
        </w:rPr>
        <w:t>Cómo revisar la respuesta</w:t>
      </w:r>
    </w:p>
    <w:p>
      <w:pPr>
        <w:keepLines w:val="0"/>
        <w:widowControl/>
        <w:spacing w:after="80"/>
      </w:pPr>
      <w:r>
        <w:t>Registra fecha, emisor y pendientes. Una nota simple informa sobre el Registro, no certifica el estado físico, las licencias ni todas las deudas. Contrasta la información y actualiza lo que corresponda antes de firmar. Una falta de respuesta no autoriza por sí sola a incumplir un pacto ya firmado.</w:t>
      </w:r>
    </w:p>
    <w:p>
      <w:pPr>
        <w:pStyle w:val="Heading2"/>
        <w:keepNext/>
        <w:keepLines w:val="0"/>
        <w:widowControl/>
        <w:spacing w:before="160" w:after="80"/>
      </w:pPr>
      <w:r>
        <w:rPr>
          <w:rFonts w:ascii="Arial" w:hAnsi="Arial"/>
          <w:b/>
          <w:color w:val="000000"/>
          <w:sz w:val="21"/>
        </w:rPr>
        <w:t>Fuentes y revisión</w:t>
      </w:r>
    </w:p>
    <w:p>
      <w:pPr>
        <w:keepLines w:val="0"/>
        <w:widowControl/>
        <w:spacing w:after="80"/>
      </w:pPr>
      <w:r>
        <w:t>RD 515/1989, artículos 1 y 4 a 6, dentro de su ámbito; Ley de Propiedad Horizontal, artículo 9.1.e, según el régimen aplicable; reglas de información y contratación de la compraventa. Los requisitos técnicos y urbanísticos dependen también del territorio y la operación.</w:t>
      </w:r>
    </w:p>
    <w:p>
      <w:pPr>
        <w:keepLines w:val="0"/>
        <w:widowControl/>
        <w:spacing w:after="60"/>
      </w:pPr>
      <w:hyperlink r:id="rId19">
        <w:r>
          <w:rPr>
            <w:color w:val="286A85"/>
            <w:u w:val="single"/>
          </w:rPr>
          <w:t>Real Decreto 515/1989 sobre información de vivienda</w:t>
        </w:r>
      </w:hyperlink>
    </w:p>
    <w:p>
      <w:pPr>
        <w:keepLines w:val="0"/>
        <w:widowControl/>
        <w:spacing w:after="60"/>
      </w:pPr>
      <w:hyperlink r:id="rId20">
        <w:r>
          <w:rPr>
            <w:color w:val="286A85"/>
            <w:u w:val="single"/>
          </w:rPr>
          <w:t>Ley 49/1960 de Propiedad Horizontal</w:t>
        </w:r>
      </w:hyperlink>
    </w:p>
    <w:p>
      <w:pPr>
        <w:keepLines w:val="0"/>
        <w:widowControl/>
        <w:spacing w:after="60"/>
      </w:pPr>
      <w:hyperlink r:id="rId21">
        <w:r>
          <w:rPr>
            <w:color w:val="286A85"/>
            <w:u w:val="single"/>
          </w:rPr>
          <w:t>Colegio de Registradores sobre nota simple y certificación</w:t>
        </w:r>
      </w:hyperlink>
    </w:p>
    <w:p>
      <w:pPr>
        <w:keepLines w:val="0"/>
        <w:widowControl/>
        <w:spacing w:after="80"/>
      </w:pPr>
      <w:r>
        <w:t>Revisión de contenido de 28 de octubre de 2026. Completa los campos azules con hechos reales, elimina los ejemplos e instrucciones y revisa destinatario, documentos y firma. Conserva una copia y la prueba de envío o entrega cuando proceda.</w:t>
      </w:r>
    </w:p>
    <w:p>
      <w:r>
        <w:br w:type="page"/>
      </w:r>
    </w:p>
    <w:p>
      <w:pPr>
        <w:pStyle w:val="Heading1"/>
        <w:keepNext/>
        <w:keepLines w:val="0"/>
        <w:widowControl/>
        <w:spacing w:before="160" w:after="80"/>
        <w:jc w:val="center"/>
      </w:pPr>
      <w:r>
        <w:rPr>
          <w:rFonts w:ascii="Arial" w:hAnsi="Arial"/>
          <w:b/>
          <w:color w:val="000000"/>
          <w:sz w:val="24"/>
        </w:rPr>
        <w:t>Solicitud de documentación de la vivienda</w:t>
      </w:r>
    </w:p>
    <w:p>
      <w:pPr>
        <w:keepLines w:val="0"/>
        <w:widowControl/>
      </w:pPr>
      <w:r>
        <w:t xml:space="preserve">Solicitante y contacto: </w:t>
      </w:r>
      <w:r>
        <w:rPr>
          <w:color w:val="397CDD"/>
        </w:rPr>
        <w:t>[NOMBRE Y CANAL PARA RESPUESTA]</w:t>
      </w:r>
      <w:r>
        <w:t>.</w:t>
        <w:br/>
        <w:t xml:space="preserve">Destinatario y condición: </w:t>
      </w:r>
      <w:r>
        <w:rPr>
          <w:color w:val="397CDD"/>
        </w:rPr>
        <w:t>[VENDEDOR, INTERMEDIARIO O REPRESENTANTE Y CANAL]</w:t>
      </w:r>
      <w:r>
        <w:t>.</w:t>
        <w:br/>
        <w:t xml:space="preserve">Inmueble de interés: </w:t>
      </w:r>
      <w:r>
        <w:rPr>
          <w:color w:val="397CDD"/>
        </w:rPr>
        <w:t>[DIRECCIÓN Y ANEXOS OFERTADOS]</w:t>
      </w:r>
      <w:r>
        <w:t>.</w:t>
      </w:r>
    </w:p>
    <w:p>
      <w:pPr>
        <w:keepLines w:val="0"/>
        <w:widowControl/>
      </w:pPr>
      <w:r>
        <w:t xml:space="preserve">Estoy valorando </w:t>
      </w:r>
      <w:r>
        <w:rPr>
          <w:color w:val="397CDD"/>
        </w:rPr>
        <w:t>[COMPRA DE VIVIENDA USADA, OBRA NUEVA U OTRO SUPUESTO]</w:t>
      </w:r>
      <w:r>
        <w:t xml:space="preserve">. La fase actual es </w:t>
      </w:r>
      <w:r>
        <w:rPr>
          <w:color w:val="397CDD"/>
        </w:rPr>
        <w:t>[ANTES DE RESERVAR, REVISIÓN DE BORRADOR U OTRA]</w:t>
      </w:r>
      <w:r>
        <w:t>. Para comprobar la operación solicito la documentación pertinente que se relaciona a continuación, indicando si ya se ha entregado, quién debe facilitarla o qué está pendiente.</w:t>
      </w:r>
    </w:p>
    <w:p>
      <w:pPr>
        <w:pStyle w:val="Heading2"/>
        <w:keepNext/>
        <w:keepLines w:val="0"/>
        <w:widowControl/>
        <w:spacing w:before="160" w:after="80"/>
      </w:pPr>
      <w:r>
        <w:rPr>
          <w:rFonts w:ascii="Arial" w:hAnsi="Arial"/>
          <w:b/>
          <w:color w:val="000000"/>
          <w:sz w:val="21"/>
        </w:rPr>
        <w:t>Titularidad objeto y cargas</w:t>
      </w:r>
    </w:p>
    <w:p>
      <w:pPr>
        <w:keepLines w:val="0"/>
        <w:widowControl/>
      </w:pPr>
      <w:r>
        <w:t>Identificación registral y catastral de vivienda, garaje y trastero; título o documentación suficiente de la facultad de vender; información registral reciente y aclaración de cargas, derechos de terceros, ocupantes o arrendamientos. Si hay hipoteca u otra carga a cancelar, indique la operación prevista y cómo se documentará.</w:t>
      </w:r>
    </w:p>
    <w:p>
      <w:pPr>
        <w:pStyle w:val="Heading2"/>
        <w:keepNext/>
        <w:keepLines w:val="0"/>
        <w:widowControl/>
        <w:spacing w:before="160" w:after="80"/>
      </w:pPr>
      <w:r>
        <w:rPr>
          <w:rFonts w:ascii="Arial" w:hAnsi="Arial"/>
          <w:b/>
          <w:color w:val="000000"/>
          <w:sz w:val="21"/>
        </w:rPr>
        <w:t>Comunidad tributos y uso</w:t>
      </w:r>
    </w:p>
    <w:p>
      <w:pPr>
        <w:keepLines w:val="0"/>
        <w:widowControl/>
      </w:pPr>
      <w:r>
        <w:t>Documentación sobre el estado de deudas con la comunidad y las derramas aprobadas o previstas que afecten a la operación; estatutos o limitaciones de uso pertinentes; recibos e información del IBI y otras obligaciones ligadas al inmueble. Solicito aclarar qué saldos o gastos asumiría cada parte, sin dar por pactada una distribución.</w:t>
      </w:r>
    </w:p>
    <w:p>
      <w:pPr>
        <w:pStyle w:val="Heading2"/>
        <w:keepNext/>
        <w:keepLines w:val="0"/>
        <w:widowControl/>
        <w:spacing w:before="160" w:after="80"/>
      </w:pPr>
      <w:r>
        <w:rPr>
          <w:rFonts w:ascii="Arial" w:hAnsi="Arial"/>
          <w:b/>
          <w:color w:val="000000"/>
          <w:sz w:val="21"/>
        </w:rPr>
        <w:t>Estado físico urbanístico y técnico</w:t>
      </w:r>
    </w:p>
    <w:p>
      <w:pPr>
        <w:keepLines w:val="0"/>
        <w:widowControl/>
      </w:pPr>
      <w:r>
        <w:t>Planos o descripción de superficie; licencia, declaración o acto de ocupación o utilización que corresponda; certificado energético y documentación técnica exigible; obras, ampliaciones, inspecciones y expedientes conocidos que afecten al inmueble. Para edificios nuevos o en construcción, documentación del promotor, licencias, entrega y garantías de anticipos que corresponda.</w:t>
      </w:r>
    </w:p>
    <w:p>
      <w:pPr>
        <w:pStyle w:val="Heading2"/>
        <w:keepNext/>
        <w:keepLines w:val="0"/>
        <w:widowControl/>
        <w:spacing w:before="160" w:after="80"/>
      </w:pPr>
      <w:r>
        <w:rPr>
          <w:rFonts w:ascii="Arial" w:hAnsi="Arial"/>
          <w:b/>
          <w:color w:val="000000"/>
          <w:sz w:val="21"/>
        </w:rPr>
        <w:t>Condiciones económicas y contractuales</w:t>
      </w:r>
    </w:p>
    <w:p>
      <w:pPr>
        <w:keepLines w:val="0"/>
        <w:widowControl/>
      </w:pPr>
      <w:r>
        <w:t>Borrador completo de reserva, arras y compraventa, con anexos; precio, cantidades anticipadas y cuenta o destinatario del pago; honorarios o gastos de intermediación si existen; condiciones de financiación, fechas, entrega de posesión, elementos incluidos y consecuencias de incumplimiento o salida.</w:t>
      </w:r>
    </w:p>
    <w:p>
      <w:pPr>
        <w:pStyle w:val="Heading2"/>
        <w:keepNext/>
        <w:keepLines w:val="0"/>
        <w:widowControl/>
        <w:spacing w:before="160" w:after="80"/>
      </w:pPr>
      <w:r>
        <w:rPr>
          <w:rFonts w:ascii="Arial" w:hAnsi="Arial"/>
          <w:b/>
          <w:color w:val="000000"/>
          <w:sz w:val="21"/>
        </w:rPr>
        <w:t>Respuesta y documentos pendientes</w:t>
      </w:r>
    </w:p>
    <w:p>
      <w:pPr>
        <w:keepLines w:val="0"/>
        <w:widowControl/>
      </w:pPr>
      <w:r>
        <w:t xml:space="preserve">Ruego respuesta por </w:t>
      </w:r>
      <w:r>
        <w:rPr>
          <w:color w:val="397CDD"/>
        </w:rPr>
        <w:t>[CANAL SEGURO]</w:t>
      </w:r>
      <w:r>
        <w:t xml:space="preserve"> antes de </w:t>
      </w:r>
      <w:r>
        <w:rPr>
          <w:color w:val="397CDD"/>
        </w:rPr>
        <w:t>[FECHA PROPUESTA EN ATENCIÓN A LA OPERACIÓN]</w:t>
      </w:r>
      <w:r>
        <w:t>. Si falta algún documento, indique cuál, la razón y la previsión de obtención. Si debe pedirse a una entidad o administración, identifique el trámite y la autorización necesaria, sin presumir un acceso que no corresponda.</w:t>
      </w:r>
    </w:p>
    <w:p>
      <w:pPr>
        <w:keepLines w:val="0"/>
        <w:widowControl/>
      </w:pPr>
      <w:r>
        <w:t>Pueden ocultarse datos de terceras personas que no sean necesarios para estas comprobaciones. Solicitaré la ampliación justificada cuando sea precisa. Por esta comunicación no formulo una oferta ni acepto condiciones de compra, ni altero los acuerdos que ya se hubieran firmado.</w:t>
      </w:r>
    </w:p>
    <w:p>
      <w:pPr>
        <w:keepLines w:val="0"/>
        <w:widowControl/>
      </w:pPr>
      <w:r>
        <w:t xml:space="preserve">En </w:t>
      </w:r>
      <w:r>
        <w:rPr>
          <w:color w:val="397CDD"/>
        </w:rPr>
        <w:t>[LOCALIDAD]</w:t>
      </w:r>
      <w:r>
        <w:t xml:space="preserve">, a </w:t>
      </w:r>
      <w:r>
        <w:rPr>
          <w:color w:val="397CDD"/>
        </w:rPr>
        <w:t>[FECHA]</w:t>
      </w:r>
      <w:r>
        <w:t>.</w:t>
        <w:br/>
        <w:t xml:space="preserve">Firma o identificación de quien solicita: </w:t>
      </w:r>
      <w:r>
        <w:rPr>
          <w:color w:val="397CDD"/>
        </w:rPr>
        <w:t>[NOMBRE Y CONDICIÓN]</w:t>
      </w:r>
      <w:r>
        <w:t>.</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000000"/>
        <w:sz w:val="18"/>
      </w:rPr>
      <w:t>PÉREZ &amp; BURGOS</w:t>
    </w:r>
    <w:r>
      <w:rPr>
        <w:rFonts w:ascii="Arial" w:hAnsi="Arial"/>
        <w:b/>
        <w:color w:val="000000"/>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Theme="majorHAnsi" w:eastAsiaTheme="majorEastAsia" w:hAnsiTheme="majorHAnsi" w:cstheme="majorBidi"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04-18911" TargetMode="External"/><Relationship Id="rId12" Type="http://schemas.openxmlformats.org/officeDocument/2006/relationships/hyperlink" Target="https://www.boe.es/diario_boe/txt.php?id=BOE-A-2025-15424" TargetMode="External"/><Relationship Id="rId13" Type="http://schemas.openxmlformats.org/officeDocument/2006/relationships/hyperlink" Target="https://www.boe.es/buscar/act.php?id=BOE-A-2002-22188" TargetMode="External"/><Relationship Id="rId14" Type="http://schemas.openxmlformats.org/officeDocument/2006/relationships/hyperlink" Target="https://perezburgosabogados.es/modelo-cronologia-medica-laboral-y-economica-del-perjudicado/" TargetMode="External"/><Relationship Id="rId15" Type="http://schemas.openxmlformats.org/officeDocument/2006/relationships/hyperlink" Target="https://perezburgosabogados.es/documentos-reclamar-accidente-trafico/" TargetMode="External"/><Relationship Id="rId16" Type="http://schemas.openxmlformats.org/officeDocument/2006/relationships/hyperlink" Target="https://perezburgosabogados.es/secuelas-puntos-baremo-accidente-trafico/" TargetMode="External"/><Relationship Id="rId17" Type="http://schemas.openxmlformats.org/officeDocument/2006/relationships/hyperlink" Target="https://perezburgosabogados.es/gastos-futuros-accidente-trafico/" TargetMode="External"/><Relationship Id="rId18" Type="http://schemas.openxmlformats.org/officeDocument/2006/relationships/hyperlink" Target="https://perezburgosabogados.es/servicios/reclamar-accidente-trafico/" TargetMode="External"/><Relationship Id="rId19" Type="http://schemas.openxmlformats.org/officeDocument/2006/relationships/hyperlink" Target="https://www.boe.es/buscar/act.php?id=BOE-A-1989-11181" TargetMode="External"/><Relationship Id="rId20" Type="http://schemas.openxmlformats.org/officeDocument/2006/relationships/hyperlink" Target="https://www.boe.es/buscar/act.php?id=BOE-A-1960-10906" TargetMode="External"/><Relationship Id="rId21" Type="http://schemas.openxmlformats.org/officeDocument/2006/relationships/hyperlink" Target="https://www.registradores.org/es/-/%C2%BFque-diferencias-existen-entre-una-nota-simple-y-una-certificacio-n-regist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documentación antes de comprar una vivienda</dc:title>
  <dc:subject>Modelo jurídico editable de vivienda</dc:subject>
  <dc:creator>Pérez &amp; Burgos Abogados</dc:creator>
  <cp:keywords/>
  <dc:description>Modelo orientativo con instrucciones separables y campos editables</dc:description>
  <cp:lastModifiedBy>Pérez &amp; Burgos Abogados</cp:lastModifiedBy>
  <cp:revision>1</cp:revision>
  <dcterms:created xsi:type="dcterms:W3CDTF">2026-10-28T10:09:13Z</dcterms:created>
  <dcterms:modified xsi:type="dcterms:W3CDTF">2026-10-28T10:09:13Z</dcterms:modified>
  <cp:category/>
  <dc:language>es-ES</dc:language>
</cp:coreProperties>
</file>