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FISCAL Y TRIBUTARIO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Solicitud de devolución de ingresos indebidos a la AEAT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Ordena una solicitud por pago tributario duplicado, excesivo, prescrito u otro ingreso legalmente indebido y relaciona justificantes y cuenta de devolución.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Agencia Estatal de Administración Tributaria.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Identificación del ingreso</w:t>
      </w:r>
    </w:p>
    <w:p>
      <w:pPr>
        <w:jc w:val="both"/>
      </w:pPr>
      <w:r>
        <w:rPr>
          <w:rFonts w:ascii="Arial" w:hAnsi="Arial"/>
        </w:rPr>
        <w:t xml:space="preserve">D./D.ª o entidad </w:t>
      </w:r>
      <w:r>
        <w:rPr>
          <w:rFonts w:ascii="Arial" w:hAnsi="Arial"/>
          <w:b/>
          <w:color w:val="397CDD"/>
          <w:shd w:fill="E5EFFC"/>
        </w:rPr>
        <w:t>{{INTERESADO}}</w:t>
      </w:r>
      <w:r>
        <w:rPr>
          <w:rFonts w:ascii="Arial" w:hAnsi="Arial"/>
        </w:rPr>
        <w:t xml:space="preserve">, NIF </w:t>
      </w:r>
      <w:r>
        <w:rPr>
          <w:rFonts w:ascii="Arial" w:hAnsi="Arial"/>
          <w:b/>
          <w:color w:val="397CDD"/>
          <w:shd w:fill="E5EFFC"/>
        </w:rPr>
        <w:t>{{NIF}}</w:t>
      </w:r>
      <w:r>
        <w:rPr>
          <w:rFonts w:ascii="Arial" w:hAnsi="Arial"/>
        </w:rPr>
        <w:t xml:space="preserve">, expediente o referencia </w:t>
      </w:r>
      <w:r>
        <w:rPr>
          <w:rFonts w:ascii="Arial" w:hAnsi="Arial"/>
          <w:b/>
          <w:color w:val="397CDD"/>
          <w:shd w:fill="E5EFFC"/>
        </w:rPr>
        <w:t>{{EXPEDIENTE}}</w:t>
      </w:r>
      <w:r>
        <w:rPr>
          <w:rFonts w:ascii="Arial" w:hAnsi="Arial"/>
        </w:rPr>
        <w:t xml:space="preserve">, solicita la devolución del ingreso realizado el </w:t>
      </w:r>
      <w:r>
        <w:rPr>
          <w:rFonts w:ascii="Arial" w:hAnsi="Arial"/>
          <w:b/>
          <w:color w:val="397CDD"/>
          <w:shd w:fill="E5EFFC"/>
        </w:rPr>
        <w:t>{{FECHA_PAGO}}</w:t>
      </w:r>
      <w:r>
        <w:rPr>
          <w:rFonts w:ascii="Arial" w:hAnsi="Arial"/>
        </w:rPr>
        <w:t xml:space="preserve"> por </w:t>
      </w:r>
      <w:r>
        <w:rPr>
          <w:rFonts w:ascii="Arial" w:hAnsi="Arial"/>
          <w:b/>
          <w:color w:val="397CDD"/>
          <w:shd w:fill="E5EFFC"/>
        </w:rPr>
        <w:t>{{IMPORTE}}</w:t>
      </w:r>
      <w:r>
        <w:rPr>
          <w:rFonts w:ascii="Arial" w:hAnsi="Arial"/>
        </w:rPr>
        <w:t xml:space="preserve"> euros, relativo a </w:t>
      </w:r>
      <w:r>
        <w:rPr>
          <w:rFonts w:ascii="Arial" w:hAnsi="Arial"/>
          <w:b/>
          <w:color w:val="397CDD"/>
          <w:shd w:fill="E5EFFC"/>
        </w:rPr>
        <w:t>{{DEUDA_SANCION_MODELO_PERIODO}}</w:t>
      </w:r>
      <w:r>
        <w:rPr>
          <w:rFonts w:ascii="Arial" w:hAnsi="Arial"/>
        </w:rPr>
        <w:t>.</w:t>
      </w:r>
    </w:p>
    <w:p>
      <w:pPr>
        <w:pStyle w:val="Heading2"/>
      </w:pPr>
      <w:r>
        <w:t>Motivo y cálculo</w:t>
      </w:r>
    </w:p>
    <w:p>
      <w:pPr>
        <w:jc w:val="both"/>
      </w:pPr>
      <w:r>
        <w:rPr>
          <w:rFonts w:ascii="Arial" w:hAnsi="Arial"/>
        </w:rPr>
        <w:t xml:space="preserve">La devolución se solicita por </w:t>
      </w:r>
      <w:r>
        <w:rPr>
          <w:rFonts w:ascii="Arial" w:hAnsi="Arial"/>
          <w:b/>
          <w:color w:val="397CDD"/>
          <w:shd w:fill="E5EFFC"/>
        </w:rPr>
        <w:t>{{DUPLICIDAD_EXCESO_PAGO_PRESCRITO_OTRO_SUPUESTO}}</w:t>
      </w:r>
      <w:r>
        <w:rPr>
          <w:rFonts w:ascii="Arial" w:hAnsi="Arial"/>
        </w:rPr>
        <w:t xml:space="preserve">, conforme a estos hechos: </w:t>
      </w:r>
      <w:r>
        <w:rPr>
          <w:rFonts w:ascii="Arial" w:hAnsi="Arial"/>
          <w:b/>
          <w:color w:val="397CDD"/>
          <w:shd w:fill="E5EFFC"/>
        </w:rPr>
        <w:t>{{HECHOS_CRONOLOGICOS}}</w:t>
      </w:r>
      <w:r>
        <w:rPr>
          <w:rFonts w:ascii="Arial" w:hAnsi="Arial"/>
        </w:rPr>
        <w:t>.</w:t>
      </w:r>
    </w:p>
    <w:p>
      <w:pPr>
        <w:jc w:val="both"/>
      </w:pPr>
      <w:r>
        <w:rPr>
          <w:rFonts w:ascii="Arial" w:hAnsi="Arial"/>
        </w:rPr>
        <w:t xml:space="preserve">Importe ingresado: </w:t>
      </w:r>
      <w:r>
        <w:rPr>
          <w:rFonts w:ascii="Arial" w:hAnsi="Arial"/>
          <w:b/>
          <w:color w:val="397CDD"/>
          <w:shd w:fill="E5EFFC"/>
        </w:rPr>
        <w:t>{{IMPORTE_INGRESADO}}</w:t>
      </w:r>
      <w:r>
        <w:rPr>
          <w:rFonts w:ascii="Arial" w:hAnsi="Arial"/>
        </w:rPr>
        <w:t xml:space="preserve"> euros. Importe que, en su caso, correspondía: </w:t>
      </w:r>
      <w:r>
        <w:rPr>
          <w:rFonts w:ascii="Arial" w:hAnsi="Arial"/>
          <w:b/>
          <w:color w:val="397CDD"/>
          <w:shd w:fill="E5EFFC"/>
        </w:rPr>
        <w:t>{{IMPORTE_DEBIDO}}</w:t>
      </w:r>
      <w:r>
        <w:rPr>
          <w:rFonts w:ascii="Arial" w:hAnsi="Arial"/>
        </w:rPr>
        <w:t xml:space="preserve"> euros. Diferencia solicitada: </w:t>
      </w:r>
      <w:r>
        <w:rPr>
          <w:rFonts w:ascii="Arial" w:hAnsi="Arial"/>
          <w:b/>
          <w:color w:val="397CDD"/>
          <w:shd w:fill="E5EFFC"/>
        </w:rPr>
        <w:t>{{IMPORTE_DEVOLUCION}}</w:t>
      </w:r>
      <w:r>
        <w:rPr>
          <w:rFonts w:ascii="Arial" w:hAnsi="Arial"/>
        </w:rPr>
        <w:t xml:space="preserve"> euros, más los intereses que legalmente procedan.</w:t>
      </w:r>
    </w:p>
    <w:p>
      <w:pPr>
        <w:pStyle w:val="Heading2"/>
      </w:pPr>
      <w:r>
        <w:t>Documentos y devolución</w:t>
      </w:r>
    </w:p>
    <w:p>
      <w:pPr>
        <w:jc w:val="both"/>
      </w:pPr>
      <w:r>
        <w:rPr>
          <w:rFonts w:ascii="Arial" w:hAnsi="Arial"/>
        </w:rPr>
        <w:t xml:space="preserve">Se aportan </w:t>
      </w:r>
      <w:r>
        <w:rPr>
          <w:rFonts w:ascii="Arial" w:hAnsi="Arial"/>
          <w:b/>
          <w:color w:val="397CDD"/>
          <w:shd w:fill="E5EFFC"/>
        </w:rPr>
        <w:t>{{CARTAS_PAGO_RESOLUCIONES_AUTOLIQUIDACIONES_EXTRACTOS_OTROS}}</w:t>
      </w:r>
      <w:r>
        <w:rPr>
          <w:rFonts w:ascii="Arial" w:hAnsi="Arial"/>
        </w:rPr>
        <w:t xml:space="preserve">. La devolución se solicita mediante transferencia a la cuenta </w:t>
      </w:r>
      <w:r>
        <w:rPr>
          <w:rFonts w:ascii="Arial" w:hAnsi="Arial"/>
          <w:b/>
          <w:color w:val="397CDD"/>
          <w:shd w:fill="E5EFFC"/>
        </w:rPr>
        <w:t>{{IBAN}}</w:t>
      </w:r>
      <w:r>
        <w:rPr>
          <w:rFonts w:ascii="Arial" w:hAnsi="Arial"/>
        </w:rPr>
        <w:t xml:space="preserve">, cuya titularidad corresponde a </w:t>
      </w:r>
      <w:r>
        <w:rPr>
          <w:rFonts w:ascii="Arial" w:hAnsi="Arial"/>
          <w:b/>
          <w:color w:val="397CDD"/>
          <w:shd w:fill="E5EFFC"/>
        </w:rPr>
        <w:t>{{TITULAR}}</w:t>
      </w:r>
      <w:r>
        <w:rPr>
          <w:rFonts w:ascii="Arial" w:hAnsi="Arial"/>
        </w:rPr>
        <w:t>.</w:t>
      </w:r>
    </w:p>
    <w:p>
      <w:pPr>
        <w:pStyle w:val="Heading2"/>
      </w:pPr>
      <w:r>
        <w:t>Petición</w:t>
      </w:r>
    </w:p>
    <w:p>
      <w:pPr>
        <w:jc w:val="both"/>
      </w:pPr>
      <w:r>
        <w:rPr>
          <w:rFonts w:ascii="Arial" w:hAnsi="Arial"/>
        </w:rPr>
        <w:t xml:space="preserve">Solicito que se reconozca el derecho a la devolución, se determine su titular e importe y se ejecute el pago, con resolución motivada y notificación en </w:t>
      </w:r>
      <w:r>
        <w:rPr>
          <w:rFonts w:ascii="Arial" w:hAnsi="Arial"/>
          <w:b/>
          <w:color w:val="397CDD"/>
          <w:shd w:fill="E5EFFC"/>
        </w:rPr>
        <w:t>{{DOMICILIO_O_MEDIO_ELECTRONICO}}</w:t>
      </w:r>
      <w:r>
        <w:rPr>
          <w:rFonts w:ascii="Arial" w:hAnsi="Arial"/>
        </w:rPr>
        <w:t>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Carta de pago o NRC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Acto, sanción o autoliquidación relacionada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Prueba de duplicidad o exceso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Cálculo separado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IBAN y titularidad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Este procedimiento cubre ingresos realmente indebidos; no sustituye el recurso contra un acto todavía impugnable ni la rectificación de una autoliquidación cuando esa sea la vía correcta.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La AEAT dispone de tramitación electrónica propia y puede exigir identificación digital y campos adicionales.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No solicites a la AEAT pagos hechos a otros organismos.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AEAT: devolución de ingresos indebidos</w:t>
      </w:r>
      <w:r>
        <w:t xml:space="preserve"> — https://sede.agenciatributaria.gob.es/Sede/procedimientos/RA03.shtml</w:t>
      </w:r>
    </w:p>
    <w:p>
      <w:r>
        <w:rPr>
          <w:b/>
        </w:rPr>
        <w:t>Ley General Tributaria, artículo 221</w:t>
      </w:r>
      <w:r>
        <w:t xml:space="preserve"> — https://www.boe.es/buscar/act.php?id=BOE-A-2003-23186#a221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p>
      <w:r>
        <w:br w:type="page"/>
      </w:r>
    </w:p>
    <w:p>
      <w:pPr>
        <w:pStyle w:val="Heading1"/>
      </w:pPr>
      <w:r>
        <w:t>COMPROBACIONES PARA ELEGIR LA VÍA DE DEVOLUCIÓN</w:t>
      </w:r>
    </w:p>
    <w:p>
      <w:r>
        <w:t>Integra estas comprobaciones en el borrador y elimina esta guía antes de presentar la versión final.</w:t>
      </w:r>
    </w:p>
    <w:p>
      <w:pPr>
        <w:pStyle w:val="ListBullet"/>
      </w:pPr>
      <w:r>
        <w:t>Distingue una devolución de ingresos indebidos del artículo 221 LGT de una rectificación de autoliquidación, una devolución derivada de la norma del tributo o la revisión de un acto firme.</w:t>
      </w:r>
    </w:p>
    <w:p>
      <w:pPr>
        <w:pStyle w:val="ListBullet"/>
      </w:pPr>
      <w:r>
        <w:t>Identifica concepto, período, justificante, fecha e importe de cada ingreso y explica por qué es indebido o por qué existe derecho a la devolución.</w:t>
      </w:r>
    </w:p>
    <w:p>
      <w:pPr>
        <w:pStyle w:val="ListBullet"/>
      </w:pPr>
      <w:r>
        <w:t>Comprueba el plazo de cuatro años de los artículos 66 a 68 LGT, su día inicial y las actuaciones que puedan haber interrumpido la prescripción.</w:t>
      </w:r>
    </w:p>
    <w:p>
      <w:pPr>
        <w:pStyle w:val="ListBullet"/>
      </w:pPr>
      <w:r>
        <w:t>No mezcles esta petición con una compensación: la compensación exige una deuda y un crédito reconocido susceptibles de compensarse por su trámite propio.</w:t>
      </w:r>
    </w:p>
    <w:p>
      <w:pPr>
        <w:pStyle w:val="ListBullet"/>
      </w:pPr>
      <w:r>
        <w:t>Utiliza el procedimiento y formulario de la sede tributaria que correspondan al origen del ingreso y conserva CSV, acuse y copia íntegra.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