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397CDD"/>
          <w:sz w:val="16"/>
        </w:rPr>
        <w:t>ADMINISTRATIVO</w:t>
      </w:r>
    </w:p>
    <w:p>
      <w:pPr>
        <w:pStyle w:val="Title"/>
        <w:jc w:val="center"/>
      </w:pPr>
      <w:r>
        <w:rPr>
          <w:rFonts w:ascii="Georgia" w:hAnsi="Georgia"/>
          <w:b/>
          <w:color w:val="102E3C"/>
          <w:sz w:val="42"/>
        </w:rPr>
        <w:t>Solicitud de certificado de silencio administrativo</w:t>
      </w:r>
    </w:p>
    <w:p>
      <w:pPr>
        <w:jc w:val="center"/>
      </w:pPr>
      <w:r>
        <w:rPr>
          <w:rFonts w:ascii="Arial" w:hAnsi="Arial"/>
          <w:color w:val="68777D"/>
          <w:sz w:val="20"/>
        </w:rPr>
        <w:t>Obtener certificación del silencio producido en un procedimiento iniciado a solicitud de la persona interesada.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547"/>
      </w:tblGrid>
      <w:tr>
        <w:tc>
          <w:tcPr>
            <w:tcW w:type="dxa" w:w="9547"/>
            <w:shd w:fill="F4EFE7"/>
          </w:tcPr>
          <w:p>
            <w:r>
              <w:rPr>
                <w:rFonts w:ascii="Arial" w:hAnsi="Arial"/>
                <w:b/>
                <w:color w:val="102E3C"/>
                <w:sz w:val="20"/>
              </w:rPr>
              <w:t>MODELO EDITABLE · GUÍA DE USO</w:t>
            </w:r>
          </w:p>
          <w:p>
            <w:r>
              <w:rPr>
                <w:rFonts w:ascii="Arial" w:hAnsi="Arial"/>
                <w:color w:val="263A43"/>
                <w:sz w:val="20"/>
              </w:rPr>
              <w:t>Procedimiento iniciado de oficio con régimen de caducidad, mera consulta, actuación no registrada o pretensión de obtener por silencio facultades legalmente excluidas.</w:t>
            </w:r>
          </w:p>
          <w:p>
            <w:r>
              <w:rPr>
                <w:rFonts w:ascii="Arial" w:hAnsi="Arial"/>
                <w:color w:val="263A43"/>
                <w:sz w:val="20"/>
              </w:rPr>
              <w:t>Completa solo datos comprobados, elimina alternativas incompatibles y conserva una copia y el justificante de presentación.</w:t>
            </w:r>
          </w:p>
        </w:tc>
      </w:tr>
    </w:tbl>
    <w:p>
      <w:pPr>
        <w:pStyle w:val="Heading1"/>
        <w:jc w:val="center"/>
      </w:pPr>
      <w:r>
        <w:t>MODELO EDITABLE</w:t>
      </w:r>
    </w:p>
    <w:p>
      <w:pPr>
        <w:pStyle w:val="Heading2"/>
      </w:pPr>
      <w:r>
        <w:t>AL ÓRGANO [COMPETENTE PARA RESOLVER]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Expediente: </w:t>
      </w:r>
      <w:r>
        <w:rPr>
          <w:rFonts w:ascii="Arial" w:hAnsi="Arial"/>
          <w:b/>
          <w:color w:val="397CDD"/>
          <w:sz w:val="20"/>
          <w:shd w:fill="E8F0FB"/>
        </w:rPr>
        <w:t>[NÚMERO]</w:t>
      </w:r>
      <w:r>
        <w:rPr>
          <w:rFonts w:ascii="Arial" w:hAnsi="Arial"/>
          <w:color w:val="263A43"/>
          <w:sz w:val="20"/>
        </w:rPr>
        <w:t xml:space="preserve">. Procedimiento: </w:t>
      </w:r>
      <w:r>
        <w:rPr>
          <w:rFonts w:ascii="Arial" w:hAnsi="Arial"/>
          <w:b/>
          <w:color w:val="397CDD"/>
          <w:sz w:val="20"/>
          <w:shd w:fill="E8F0FB"/>
        </w:rPr>
        <w:t>[DENOMINACIÓN EXACTA]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D./D.ª </w:t>
      </w:r>
      <w:r>
        <w:rPr>
          <w:rFonts w:ascii="Arial" w:hAnsi="Arial"/>
          <w:b/>
          <w:color w:val="397CDD"/>
          <w:sz w:val="20"/>
          <w:shd w:fill="E8F0FB"/>
        </w:rPr>
        <w:t>[NOMBRE]</w:t>
      </w:r>
      <w:r>
        <w:rPr>
          <w:rFonts w:ascii="Arial" w:hAnsi="Arial"/>
          <w:color w:val="263A43"/>
          <w:sz w:val="20"/>
        </w:rPr>
        <w:t xml:space="preserve">, con DNI/NIE/NIF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actuando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con medio de notificación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, comparece y</w:t>
      </w:r>
    </w:p>
    <w:p>
      <w:pPr>
        <w:pStyle w:val="Heading2"/>
      </w:pPr>
      <w:r>
        <w:t>EXPONE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Primero.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 presentó solicitud de </w:t>
      </w:r>
      <w:r>
        <w:rPr>
          <w:rFonts w:ascii="Arial" w:hAnsi="Arial"/>
          <w:b/>
          <w:color w:val="397CDD"/>
          <w:sz w:val="20"/>
          <w:shd w:fill="E8F0FB"/>
        </w:rPr>
        <w:t>[OBJETO PRECISO]</w:t>
      </w:r>
      <w:r>
        <w:rPr>
          <w:rFonts w:ascii="Arial" w:hAnsi="Arial"/>
          <w:color w:val="263A43"/>
          <w:sz w:val="20"/>
        </w:rPr>
        <w:t xml:space="preserve">, con número de registro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, que tuvo entrada en el registro electrónico de la Administración u organismo competente en fecha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 Se adjunta el justificante y una copia de la solicitud.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Segundo. El plazo máximo para resolver y notificar viene establecido en </w:t>
      </w:r>
      <w:r>
        <w:rPr>
          <w:rFonts w:ascii="Arial" w:hAnsi="Arial"/>
          <w:b/>
          <w:color w:val="397CDD"/>
          <w:sz w:val="20"/>
          <w:shd w:fill="E8F0FB"/>
        </w:rPr>
        <w:t>[NORMA Y PRECEPTO]</w:t>
      </w:r>
      <w:r>
        <w:rPr>
          <w:rFonts w:ascii="Arial" w:hAnsi="Arial"/>
          <w:color w:val="263A43"/>
          <w:sz w:val="20"/>
        </w:rPr>
        <w:t xml:space="preserve"> y es de </w:t>
      </w:r>
      <w:r>
        <w:rPr>
          <w:rFonts w:ascii="Arial" w:hAnsi="Arial"/>
          <w:b/>
          <w:color w:val="397CDD"/>
          <w:sz w:val="20"/>
          <w:shd w:fill="E8F0FB"/>
        </w:rPr>
        <w:t>[PLAZO]</w:t>
      </w:r>
      <w:r>
        <w:rPr>
          <w:rFonts w:ascii="Arial" w:hAnsi="Arial"/>
          <w:color w:val="263A43"/>
          <w:sz w:val="20"/>
        </w:rPr>
        <w:t xml:space="preserve">. El inicio de su cómputo se sitúa en </w:t>
      </w:r>
      <w:r>
        <w:rPr>
          <w:rFonts w:ascii="Arial" w:hAnsi="Arial"/>
          <w:b/>
          <w:color w:val="397CDD"/>
          <w:sz w:val="20"/>
          <w:shd w:fill="E8F0FB"/>
        </w:rPr>
        <w:t>[FECHA Y FUNDAMENTO]</w:t>
      </w:r>
      <w:r>
        <w:rPr>
          <w:rFonts w:ascii="Arial" w:hAnsi="Arial"/>
          <w:color w:val="263A43"/>
          <w:sz w:val="20"/>
        </w:rPr>
        <w:t>, sin confundir la fecha de firma privada del documento con su entrada registral relevante.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Tercero. Durante la tramitación se han producido las siguientes incidencias con posible efecto en el cómputo: </w:t>
      </w:r>
      <w:r>
        <w:rPr>
          <w:rFonts w:ascii="Arial" w:hAnsi="Arial"/>
          <w:b/>
          <w:color w:val="397CDD"/>
          <w:sz w:val="20"/>
          <w:shd w:fill="E8F0FB"/>
        </w:rPr>
        <w:t>[REQUERIMIENTO, FECHA DE NOTIFICACIÓN Y CUMPLIMIENTO; ACUERDO DE SUSPENSIÓN; AMPLIACIÓN; O INDICAR QUE NO CONSTAN]</w:t>
      </w:r>
      <w:r>
        <w:rPr>
          <w:rFonts w:ascii="Arial" w:hAnsi="Arial"/>
          <w:color w:val="263A43"/>
          <w:sz w:val="20"/>
        </w:rPr>
        <w:t xml:space="preserve">. Acompaño los documentos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 xml:space="preserve">. El cálculo resultante sitúa el vencimiento del plazo máximo en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>, sujeto a la comprobación de esos antecedentes.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Cuarto. A fecha de este escrito no consta a esta parte resolución expresa notificada por el medio legal correspondiente. Se han comprobado </w:t>
      </w:r>
      <w:r>
        <w:rPr>
          <w:rFonts w:ascii="Arial" w:hAnsi="Arial"/>
          <w:b/>
          <w:color w:val="397CDD"/>
          <w:sz w:val="20"/>
          <w:shd w:fill="E8F0FB"/>
        </w:rPr>
        <w:t>[BUZÓN ELECTRÓNICO, COMPARECENCIA O MEDIO POSTAL PERTINENTE]</w:t>
      </w:r>
      <w:r>
        <w:rPr>
          <w:rFonts w:ascii="Arial" w:hAnsi="Arial"/>
          <w:color w:val="263A43"/>
          <w:sz w:val="20"/>
        </w:rPr>
        <w:t xml:space="preserve"> hasta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</w:t>
      </w:r>
      <w:r>
        <w:rPr>
          <w:rFonts w:ascii="Arial" w:hAnsi="Arial"/>
          <w:b/>
          <w:color w:val="397CDD"/>
          <w:sz w:val="20"/>
          <w:shd w:fill="E8F0FB"/>
        </w:rPr>
        <w:t>[SI EXISTE INCIDENCIA DE NOTIFICACIÓN: DESCRIBIRLA SIN AFIRMAR QUE NO HUBO NOTIFICACIÓN VÁLIDA]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Quinto. A efectos de documentación del estado del procedimiento, se solicita certificación del silencio administrativo conforme al artículo 24.4 de la Ley 39/2015. El sentido que se considera aplicable es </w:t>
      </w:r>
      <w:r>
        <w:rPr>
          <w:rFonts w:ascii="Arial" w:hAnsi="Arial"/>
          <w:b/>
          <w:color w:val="397CDD"/>
          <w:sz w:val="20"/>
          <w:shd w:fill="E8F0FB"/>
        </w:rPr>
        <w:t>[ESTIMATORIO / DESESTIMATORIO]</w:t>
      </w:r>
      <w:r>
        <w:rPr>
          <w:rFonts w:ascii="Arial" w:hAnsi="Arial"/>
          <w:color w:val="263A43"/>
          <w:sz w:val="20"/>
        </w:rPr>
        <w:t xml:space="preserve">, con fundamento en </w:t>
      </w:r>
      <w:r>
        <w:rPr>
          <w:rFonts w:ascii="Arial" w:hAnsi="Arial"/>
          <w:b/>
          <w:color w:val="397CDD"/>
          <w:sz w:val="20"/>
          <w:shd w:fill="E8F0FB"/>
        </w:rPr>
        <w:t>[PRECEPTO ESPECÍFICO Y, EN SU CASO, EXCEPCIÓN LEGAL]</w:t>
      </w:r>
      <w:r>
        <w:rPr>
          <w:rFonts w:ascii="Arial" w:hAnsi="Arial"/>
          <w:color w:val="263A43"/>
          <w:sz w:val="20"/>
        </w:rPr>
        <w:t>, sin atribuir automáticamente efecto estimatorio a la falta de respuesta.</w:t>
      </w:r>
    </w:p>
    <w:p>
      <w:pPr>
        <w:pStyle w:val="Heading2"/>
      </w:pPr>
      <w:r>
        <w:t>SOLICITA</w:t>
      </w:r>
    </w:p>
    <w:p>
      <w:pPr>
        <w:jc w:val="both"/>
      </w:pPr>
      <w:r>
        <w:rPr>
          <w:rFonts w:ascii="Arial" w:hAnsi="Arial"/>
          <w:color w:val="263A43"/>
          <w:sz w:val="20"/>
        </w:rPr>
        <w:t>Primero. Que expida y notifique certificado acreditativo del silencio administrativo producido en el expediente identificado, con expresión de la solicitud, fecha de entrada relevante, plazo máximo, incidencias de cómputo, fecha de vencimiento y sentido del silencio que legalmente corresponda.</w:t>
      </w:r>
    </w:p>
    <w:p>
      <w:pPr>
        <w:jc w:val="both"/>
      </w:pPr>
      <w:r>
        <w:rPr>
          <w:rFonts w:ascii="Arial" w:hAnsi="Arial"/>
          <w:color w:val="263A43"/>
          <w:sz w:val="20"/>
        </w:rPr>
        <w:t>Segundo. Que el certificado se emita dentro del plazo del artículo 24.4 de la Ley 39/2015, computado para esta solicitud desde el día siguiente a su entrada en el registro electrónico de la Administración u organismo competente.</w:t>
      </w:r>
    </w:p>
    <w:p>
      <w:pPr>
        <w:jc w:val="both"/>
      </w:pPr>
      <w:r>
        <w:rPr>
          <w:rFonts w:ascii="Arial" w:hAnsi="Arial"/>
          <w:color w:val="263A43"/>
          <w:sz w:val="20"/>
        </w:rPr>
        <w:t>Tercero. Si el órgano entiende que no ha vencido el plazo o que este régimen no resulta aplicable, que identifique de forma expresa la norma, el cómputo y las incidencias en que basa esa conclusión, facilitando copia de los acuerdos relevantes que no hayan sido puestos a disposición de esta parte.</w:t>
      </w:r>
    </w:p>
    <w:p>
      <w:pPr>
        <w:jc w:val="both"/>
      </w:pPr>
      <w:r>
        <w:rPr>
          <w:rFonts w:ascii="Arial" w:hAnsi="Arial"/>
          <w:color w:val="263A43"/>
          <w:sz w:val="20"/>
        </w:rPr>
        <w:t>Esta petición no modifica el objeto de la solicitud inicial, no implica desistimiento y no pretende reiniciar el procedimiento ni su plazo máximo de resolución.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En </w:t>
      </w:r>
      <w:r>
        <w:rPr>
          <w:rFonts w:ascii="Arial" w:hAnsi="Arial"/>
          <w:b/>
          <w:color w:val="397CDD"/>
          <w:sz w:val="20"/>
          <w:shd w:fill="E8F0FB"/>
        </w:rPr>
        <w:t>[LOCALIDAD]</w:t>
      </w:r>
      <w:r>
        <w:rPr>
          <w:rFonts w:ascii="Arial" w:hAnsi="Arial"/>
          <w:color w:val="263A43"/>
          <w:sz w:val="20"/>
        </w:rPr>
        <w:t xml:space="preserve">, a </w:t>
      </w:r>
      <w:r>
        <w:rPr>
          <w:rFonts w:ascii="Arial" w:hAnsi="Arial"/>
          <w:b/>
          <w:color w:val="397CDD"/>
          <w:sz w:val="20"/>
          <w:shd w:fill="E8F0FB"/>
        </w:rPr>
        <w:t>[FECHA]</w:t>
      </w:r>
      <w:r>
        <w:rPr>
          <w:rFonts w:ascii="Arial" w:hAnsi="Arial"/>
          <w:color w:val="263A43"/>
          <w:sz w:val="20"/>
        </w:rPr>
        <w:t xml:space="preserve">. Firma: </w:t>
      </w:r>
      <w:r>
        <w:rPr>
          <w:rFonts w:ascii="Arial" w:hAnsi="Arial"/>
          <w:b/>
          <w:color w:val="397CDD"/>
          <w:sz w:val="20"/>
          <w:shd w:fill="E8F0FB"/>
        </w:rPr>
        <w:t>[ ]</w:t>
      </w:r>
      <w:r>
        <w:rPr>
          <w:rFonts w:ascii="Arial" w:hAnsi="Arial"/>
          <w:color w:val="263A43"/>
          <w:sz w:val="20"/>
        </w:rPr>
        <w:t>.</w:t>
      </w:r>
    </w:p>
    <w:p>
      <w:pPr>
        <w:jc w:val="both"/>
      </w:pPr>
      <w:r>
        <w:rPr>
          <w:rFonts w:ascii="Arial" w:hAnsi="Arial"/>
          <w:color w:val="263A43"/>
          <w:sz w:val="20"/>
        </w:rPr>
        <w:t xml:space="preserve">Anexos: solicitud y registro inicial; comunicaciones de tramitación; cálculo de fechas; </w:t>
      </w:r>
      <w:r>
        <w:rPr>
          <w:rFonts w:ascii="Arial" w:hAnsi="Arial"/>
          <w:b/>
          <w:color w:val="397CDD"/>
          <w:sz w:val="20"/>
          <w:shd w:fill="E8F0FB"/>
        </w:rPr>
        <w:t>[OTROS]</w:t>
      </w:r>
      <w:r>
        <w:rPr>
          <w:rFonts w:ascii="Arial" w:hAnsi="Arial"/>
          <w:color w:val="263A43"/>
          <w:sz w:val="20"/>
        </w:rPr>
        <w:t>.</w:t>
      </w:r>
    </w:p>
    <w:p>
      <w:r>
        <w:br w:type="page"/>
      </w:r>
    </w:p>
    <w:p>
      <w:pPr>
        <w:pStyle w:val="Heading1"/>
        <w:jc w:val="center"/>
      </w:pPr>
      <w:r>
        <w:t>GUÍA DE REVISIÓN · NO ADJUNTAR AL ESCRITO</w:t>
      </w:r>
    </w:p>
    <w:p>
      <w:pPr>
        <w:pStyle w:val="Heading2"/>
      </w:pPr>
      <w:r>
        <w:t>Finalidad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Obtener certificación del silencio producido en un procedimiento iniciado a solicitud de la persona interesada.</w:t>
      </w:r>
    </w:p>
    <w:p>
      <w:pPr>
        <w:pStyle w:val="Heading2"/>
      </w:pPr>
      <w:r>
        <w:t>Cuándo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Ha transcurrido el plazo máximo para resolver y notificar un procedimiento iniciado a instancia de parte, tras revisar su régimen específico.</w:t>
      </w:r>
    </w:p>
    <w:p>
      <w:pPr>
        <w:pStyle w:val="Heading2"/>
      </w:pPr>
      <w:r>
        <w:t>Cuándo no utilizarlo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Procedimiento iniciado de oficio con régimen de caducidad, mera consulta, actuación no registrada o pretensión de obtener por silencio facultades legalmente excluidas.</w:t>
      </w:r>
    </w:p>
    <w:p>
      <w:pPr>
        <w:pStyle w:val="Heading2"/>
      </w:pPr>
      <w:r>
        <w:t>Plazos</w:t>
      </w:r>
    </w:p>
    <w:p>
      <w:pPr>
        <w:jc w:val="both"/>
      </w:pPr>
      <w:r>
        <w:rPr>
          <w:rFonts w:ascii="Arial" w:hAnsi="Arial"/>
          <w:color w:val="263A43"/>
          <w:sz w:val="20"/>
        </w:rPr>
        <w:t>Art. 24.4: expedición de oficio en quince días desde el vencimiento del plazo máximo; a solicitud, cómputo desde el día siguiente a la entrada en el registro electrónico competente. Comprobar días hábiles y calendario.</w:t>
      </w:r>
    </w:p>
    <w:p>
      <w:pPr>
        <w:pStyle w:val="Heading2"/>
      </w:pPr>
      <w:r>
        <w:t>Dónde y cómo presentarlo</w:t>
      </w:r>
    </w:p>
    <w:p>
      <w:pPr>
        <w:jc w:val="both"/>
      </w:pPr>
      <w:r>
        <w:rPr>
          <w:rFonts w:ascii="Arial" w:hAnsi="Arial"/>
          <w:color w:val="263A43"/>
          <w:sz w:val="20"/>
        </w:rPr>
        <w:t>Registro del órgano competente para resolver el procedimiento original, identificando el expediente sin iniciar una nueva petición sustantiva.</w:t>
      </w:r>
    </w:p>
    <w:p>
      <w:pPr>
        <w:pStyle w:val="Heading2"/>
      </w:pPr>
      <w:r>
        <w:t>Intervención y revisión profesional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recomendable cuando se pretenda ejercer una facultad apoyándose en silencio positivo.</w:t>
      </w:r>
    </w:p>
    <w:p>
      <w:pPr>
        <w:pStyle w:val="Heading2"/>
      </w:pPr>
      <w:r>
        <w:t>Documentación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Solicitud original; registro; norma del procedimiento; requerimientos de subsanación; acuerdos de suspensión o ampliación y sus notificaciones.</w:t>
      </w:r>
    </w:p>
    <w:p>
      <w:pPr>
        <w:pStyle w:val="Heading2"/>
      </w:pPr>
      <w:r>
        <w:t>Auditoría de seguridad</w:t>
      </w:r>
    </w:p>
    <w:p>
      <w:pPr>
        <w:jc w:val="both"/>
      </w:pPr>
      <w:r>
        <w:rPr>
          <w:rFonts w:ascii="Arial" w:hAnsi="Arial"/>
          <w:color w:val="263A43"/>
          <w:sz w:val="20"/>
        </w:rPr>
        <w:t>Útil como prueba, pero el certificado no crea un silencio positivo ni corrige una solicitud improcedente. Es necesario calcular el plazo y sus suspensiones.</w:t>
      </w:r>
    </w:p>
    <w:p>
      <w:pPr>
        <w:pStyle w:val="Heading2"/>
      </w:pPr>
      <w:r>
        <w:t>Advertencias específicas</w:t>
      </w:r>
    </w:p>
    <w:p>
      <w:pPr>
        <w:jc w:val="both"/>
      </w:pPr>
      <w:r>
        <w:rPr>
          <w:rFonts w:ascii="Arial" w:hAnsi="Arial"/>
          <w:color w:val="263A43"/>
          <w:sz w:val="20"/>
        </w:rPr>
        <w:t>Ámbito general de la Ley 39/2015. Comprobar normativa sectorial, autonómica y local, órgano competente, fase y notificación íntegra. Usar el formulario específico cuando sea obligatorio. Las personas obligadas a relacionarse electrónicamente deben emplear el registro electrónico adecuado; conservar justificante y anexos. No es una demanda contencioso-administrativa.</w:t>
      </w:r>
    </w:p>
    <w:p>
      <w:pPr>
        <w:pStyle w:val="Heading2"/>
      </w:pPr>
      <w:r>
        <w:t>Cumplimentación</w:t>
      </w:r>
    </w:p>
    <w:p>
      <w:pPr>
        <w:jc w:val="both"/>
      </w:pPr>
      <w:r>
        <w:rPr>
          <w:rFonts w:ascii="Arial" w:hAnsi="Arial"/>
          <w:color w:val="263A43"/>
          <w:sz w:val="20"/>
        </w:rPr>
        <w:t>Sustituya todos los campos entre corchetes por datos comprobados. Repita filas o registros de los anexos cuando sea necesario. Conserve una sola alternativa cuando se indique. Elimine controles internos, instrucciones y guía antes de enviar; revise cifras, plazos, representación, destinatario y firmas. No antedate ni afirme pagos, acuerdos o notificaciones inexistentes.</w:t>
      </w:r>
    </w:p>
    <w:p>
      <w:pPr>
        <w:pStyle w:val="Heading2"/>
      </w:pPr>
      <w:r>
        <w:t>Campos editables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COMPETENTE PARA RESOLVER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NÚMERO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DENOMINACIÓN EXACTA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NOMBRE</w:t>
      </w:r>
    </w:p>
    <w:p>
      <w:pPr>
        <w:jc w:val="both"/>
      </w:pPr>
      <w:r>
        <w:rPr>
          <w:rFonts w:ascii="Arial" w:hAnsi="Arial"/>
          <w:color w:val="263A43"/>
          <w:sz w:val="20"/>
        </w:rPr>
        <w:t>-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OBJETO PRECISO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NORMA Y PRECEPTO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PLAZO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 Y FUNDAMENTO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REQUERIMIENTO, FECHA DE NOTIFICACIÓN Y CUMPLIMIENTO; ACUERDO DE SUSPENSIÓN; AMPLIACIÓN; O INDICAR QUE NO CONSTAN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FECHA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BUZÓN ELECTRÓNICO, COMPARECENCIA O MEDIO POSTAL PERTINENTE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SI EXISTE INCIDENCIA DE NOTIFICACIÓN: DESCRIBIRLA SIN AFIRMAR QUE NO HUBO NOTIFICACIÓN VÁLIDA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ESTIMATORIO / DESESTIMATORIO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PRECEPTO ESPECÍFICO Y, EN SU CASO, EXCEPCIÓN LEGAL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LOCALIDAD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OTROS</w:t>
      </w:r>
    </w:p>
    <w:p>
      <w:pPr>
        <w:pStyle w:val="Heading2"/>
      </w:pPr>
      <w:r>
        <w:t>Fuentes oficiales</w:t>
      </w:r>
    </w:p>
    <w:p>
      <w:pPr>
        <w:pStyle w:val="ListBullet"/>
      </w:pPr>
      <w:r>
        <w:rPr>
          <w:rFonts w:ascii="Arial" w:hAnsi="Arial"/>
          <w:color w:val="263A43"/>
          <w:sz w:val="20"/>
        </w:rPr>
        <w:t>Ley 39/2015, del Procedimiento Administrativo Común — https://www.boe.es/eli/es/l/2015/10/01/39/con: arts. 21 a 24 y 30.</w:t>
      </w:r>
    </w:p>
    <w:p>
      <w:pPr>
        <w:jc w:val="both"/>
      </w:pPr>
      <w:r>
        <w:rPr>
          <w:rFonts w:ascii="Arial" w:hAnsi="Arial"/>
          <w:color w:val="263A43"/>
          <w:sz w:val="20"/>
        </w:rPr>
        <w:t>Revisión normativa documental: 13 de septiembre de 2026. Comprueba la normativa, el procedimiento y los datos del caso antes de utilizarlo. Plantilla general: completar, contrastar documentos y eliminar las alternativas no aplicables. No garantiza un resultado ni sustituye actuaciones profesionales o formularios obligatorios.</w:t>
      </w:r>
    </w:p>
    <w:p>
      <w:pPr>
        <w:jc w:val="both"/>
      </w:pPr>
      <w:r>
        <w:rPr>
          <w:rFonts w:ascii="Arial" w:hAnsi="Arial"/>
          <w:color w:val="263A43"/>
          <w:sz w:val="20"/>
        </w:rPr>
        <w:t>El contraste se ha efectuado sobre las fuentes oficiales identificadas, no sobre todos los regímenes territoriales, convenios privados, bases de convocatoria, estatutos o jurisprudencia posible. Las versiones consolidadas facilitan la consulta pero debe comprobarse la publicación oficial y la vigencia temporal del precepto aplicable. No se ha efectuado una auditoría de duplicidades del catálogo actualmente publicado en la web.</w:t>
      </w:r>
    </w:p>
    <w:p>
      <w:pPr>
        <w:pStyle w:val="Heading1"/>
      </w:pPr>
      <w:r>
        <w:t>Fuentes oficiales verificadas</w:t>
      </w:r>
    </w:p>
    <w:p>
      <w:r>
        <w:rPr>
          <w:rFonts w:ascii="Arial" w:hAnsi="Arial"/>
          <w:i/>
          <w:color w:val="68777D"/>
          <w:sz w:val="16"/>
        </w:rPr>
        <w:t>Revisión documental: 13 de septiembre de 2026. Comprueba vigencia, competencia, procedimiento y plazo en la fecha de uso.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1123" w:right="1181" w:bottom="1037" w:left="1181" w:header="432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rFonts w:ascii="Arial" w:hAnsi="Arial"/>
        <w:color w:val="68777D"/>
        <w:sz w:val="14"/>
      </w:rPr>
      <w:t xml:space="preserve">Modelo orientativo · Revisión profesional según el caso · perezburgosabogados.es   </w:t>
    </w:r>
    <w:r>
      <w:rPr>
        <w:rFonts w:ascii="Arial" w:hAnsi="Arial"/>
        <w:color w:val="68777D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Georgia" w:hAnsi="Georgia"/>
        <w:b/>
        <w:color w:val="102E3C"/>
        <w:sz w:val="18"/>
      </w:rPr>
      <w:t>PÉREZ &amp; BURGOS</w:t>
    </w:r>
    <w:r>
      <w:rPr>
        <w:rFonts w:ascii="Arial" w:hAnsi="Arial"/>
        <w:b/>
        <w:color w:val="397CDD"/>
        <w:sz w:val="15"/>
      </w:rPr>
      <w:t xml:space="preserve">  ·  MODELOS JURÍDICOS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/>
      <w:color w:val="263A4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/>
      <w:outlineLvl w:val="0"/>
    </w:pPr>
    <w:rPr>
      <w:rFonts w:asciiTheme="majorHAnsi" w:eastAsiaTheme="majorEastAsia" w:hAnsiTheme="majorHAnsi" w:cstheme="majorBidi" w:ascii="Georgia" w:hAnsi="Georgia"/>
      <w:b/>
      <w:bCs/>
      <w:color w:val="102E3C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Georgia" w:hAnsi="Georgia"/>
      <w:b/>
      <w:bCs/>
      <w:color w:val="102E3C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Georgia" w:hAnsi="Georgia"/>
      <w:b/>
      <w:bCs/>
      <w:color w:val="102E3C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180"/>
      <w:contextualSpacing/>
    </w:pPr>
    <w:rPr>
      <w:rFonts w:asciiTheme="majorHAnsi" w:eastAsiaTheme="majorEastAsia" w:hAnsiTheme="majorHAnsi" w:cstheme="majorBidi" w:ascii="Georgia" w:hAnsi="Georgia"/>
      <w:b/>
      <w:color w:val="102E3C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Modelo jurídico editable de Pérez &amp; Burgos Abogados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