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397CDD"/>
          <w:sz w:val="16"/>
        </w:rPr>
        <w:t>FISCAL</w:t>
      </w:r>
    </w:p>
    <w:p>
      <w:pPr>
        <w:pStyle w:val="Title"/>
        <w:jc w:val="center"/>
      </w:pPr>
      <w:r>
        <w:rPr>
          <w:rFonts w:ascii="Georgia" w:hAnsi="Georgia"/>
          <w:b/>
          <w:color w:val="102E3C"/>
          <w:sz w:val="42"/>
        </w:rPr>
        <w:t>Solicitud de aplazamiento o fraccionamiento</w:t>
      </w:r>
    </w:p>
    <w:p>
      <w:pPr>
        <w:jc w:val="center"/>
      </w:pPr>
      <w:r>
        <w:rPr>
          <w:rFonts w:ascii="Arial" w:hAnsi="Arial"/>
          <w:color w:val="68777D"/>
          <w:sz w:val="20"/>
        </w:rPr>
        <w:t>Aportar memoria económica y un calendario viable a una solicitud oficial de pago diferido.</w:t>
      </w:r>
    </w:p>
    <w:tbl>
      <w:tblPr>
        <w:tblW w:type="auto" w:w="0"/>
        <w:tblLayout w:type="autofit"/>
        <w:tblLook w:firstColumn="1" w:firstRow="1" w:lastColumn="0" w:lastRow="0" w:noHBand="0" w:noVBand="1" w:val="04A0"/>
      </w:tblPr>
      <w:tblGrid>
        <w:gridCol w:w="9547"/>
      </w:tblGrid>
      <w:tr>
        <w:tc>
          <w:tcPr>
            <w:tcW w:type="dxa" w:w="9547"/>
            <w:shd w:fill="F4EFE7"/>
          </w:tcPr>
          <w:p>
            <w:r>
              <w:rPr>
                <w:rFonts w:ascii="Arial" w:hAnsi="Arial"/>
                <w:b/>
                <w:color w:val="102E3C"/>
                <w:sz w:val="20"/>
              </w:rPr>
              <w:t>MODELO EDITABLE · GUÍA DE USO</w:t>
            </w:r>
          </w:p>
          <w:p>
            <w:r>
              <w:rPr>
                <w:rFonts w:ascii="Arial" w:hAnsi="Arial"/>
                <w:color w:val="263A43"/>
                <w:sz w:val="20"/>
              </w:rPr>
              <w:t>Deudas legalmente inaplazables; crisis estructural sin plan viable; solicitud para paralizar artificiosamente el cobro; cuotas e impuestos especiales sin revisar régimen.</w:t>
            </w:r>
          </w:p>
          <w:p>
            <w:r>
              <w:rPr>
                <w:rFonts w:ascii="Arial" w:hAnsi="Arial"/>
                <w:color w:val="263A43"/>
                <w:sz w:val="20"/>
              </w:rPr>
              <w:t>Completa solo datos comprobados, elimina alternativas incompatibles y conserva una copia y el justificante de presentación.</w:t>
            </w:r>
          </w:p>
        </w:tc>
      </w:tr>
    </w:tbl>
    <w:p>
      <w:pPr>
        <w:pStyle w:val="Heading1"/>
        <w:jc w:val="center"/>
      </w:pPr>
      <w:r>
        <w:t>MODELO EDITABLE</w:t>
      </w:r>
    </w:p>
    <w:p>
      <w:pPr>
        <w:pStyle w:val="Heading2"/>
      </w:pPr>
      <w:r>
        <w:t>A [ADMINISTRACIÓN TRIBUTARIA — ÓRGANO DE RECAUDACIÓN]</w:t>
      </w:r>
    </w:p>
    <w:p>
      <w:pPr>
        <w:pStyle w:val="Heading2"/>
      </w:pPr>
      <w:r>
        <w:t>MEMORIA DE SOLICITUD DE [APLAZAMIENTO / FRACCIONAMIENTO]</w:t>
      </w:r>
    </w:p>
    <w:p>
      <w:pPr>
        <w:jc w:val="both"/>
      </w:pPr>
      <w:r>
        <w:rPr>
          <w:rFonts w:ascii="Arial" w:hAnsi="Arial"/>
          <w:color w:val="263A43"/>
          <w:sz w:val="20"/>
        </w:rPr>
        <w:t xml:space="preserve">Solicitud oficial: </w:t>
      </w:r>
      <w:r>
        <w:rPr>
          <w:rFonts w:ascii="Arial" w:hAnsi="Arial"/>
          <w:b/>
          <w:color w:val="397CDD"/>
          <w:sz w:val="20"/>
          <w:shd w:fill="E8F0FB"/>
        </w:rPr>
        <w:t>[REFERENCIA O PRESENTACIÓN SIMULTÁNEA]</w:t>
      </w:r>
      <w:r>
        <w:rPr>
          <w:rFonts w:ascii="Arial" w:hAnsi="Arial"/>
          <w:color w:val="263A43"/>
          <w:sz w:val="20"/>
        </w:rPr>
        <w:t>.</w:t>
      </w:r>
    </w:p>
    <w:p>
      <w:pPr>
        <w:jc w:val="both"/>
      </w:pPr>
      <w:r>
        <w:rPr>
          <w:rFonts w:ascii="Arial" w:hAnsi="Arial"/>
          <w:color w:val="263A43"/>
          <w:sz w:val="20"/>
        </w:rPr>
        <w:t xml:space="preserve">D./D.ª </w:t>
      </w:r>
      <w:r>
        <w:rPr>
          <w:rFonts w:ascii="Arial" w:hAnsi="Arial"/>
          <w:b/>
          <w:color w:val="397CDD"/>
          <w:sz w:val="20"/>
          <w:shd w:fill="E8F0FB"/>
        </w:rPr>
        <w:t>[NOMBRE O RAZÓN SOCIAL]</w:t>
      </w:r>
      <w:r>
        <w:rPr>
          <w:rFonts w:ascii="Arial" w:hAnsi="Arial"/>
          <w:color w:val="263A43"/>
          <w:sz w:val="20"/>
        </w:rPr>
        <w:t xml:space="preserve">, NIF </w:t>
      </w:r>
      <w:r>
        <w:rPr>
          <w:rFonts w:ascii="Arial" w:hAnsi="Arial"/>
          <w:b/>
          <w:color w:val="397CDD"/>
          <w:sz w:val="20"/>
          <w:shd w:fill="E8F0FB"/>
        </w:rPr>
        <w:t>[ ]</w:t>
      </w:r>
      <w:r>
        <w:rPr>
          <w:rFonts w:ascii="Arial" w:hAnsi="Arial"/>
          <w:color w:val="263A43"/>
          <w:sz w:val="20"/>
        </w:rPr>
        <w:t xml:space="preserve">, representación </w:t>
      </w:r>
      <w:r>
        <w:rPr>
          <w:rFonts w:ascii="Arial" w:hAnsi="Arial"/>
          <w:b/>
          <w:color w:val="397CDD"/>
          <w:sz w:val="20"/>
          <w:shd w:fill="E8F0FB"/>
        </w:rPr>
        <w:t>[ ]</w:t>
      </w:r>
      <w:r>
        <w:rPr>
          <w:rFonts w:ascii="Arial" w:hAnsi="Arial"/>
          <w:color w:val="263A43"/>
          <w:sz w:val="20"/>
        </w:rPr>
        <w:t xml:space="preserve">, medio de notificación </w:t>
      </w:r>
      <w:r>
        <w:rPr>
          <w:rFonts w:ascii="Arial" w:hAnsi="Arial"/>
          <w:b/>
          <w:color w:val="397CDD"/>
          <w:sz w:val="20"/>
          <w:shd w:fill="E8F0FB"/>
        </w:rPr>
        <w:t>[ ]</w:t>
      </w:r>
      <w:r>
        <w:rPr>
          <w:rFonts w:ascii="Arial" w:hAnsi="Arial"/>
          <w:color w:val="263A43"/>
          <w:sz w:val="20"/>
        </w:rPr>
        <w:t>, comparece y</w:t>
      </w:r>
    </w:p>
    <w:p>
      <w:pPr>
        <w:pStyle w:val="Heading2"/>
      </w:pPr>
      <w:r>
        <w:t>EXPONE</w:t>
      </w:r>
    </w:p>
    <w:p>
      <w:pPr>
        <w:jc w:val="both"/>
      </w:pPr>
      <w:r>
        <w:rPr>
          <w:rFonts w:ascii="Arial" w:hAnsi="Arial"/>
          <w:color w:val="263A43"/>
          <w:sz w:val="20"/>
        </w:rPr>
        <w:t xml:space="preserve">Primero. Solicita diferir el pago de las deudas siguientes: deuda 1, concepto/modelo </w:t>
      </w:r>
      <w:r>
        <w:rPr>
          <w:rFonts w:ascii="Arial" w:hAnsi="Arial"/>
          <w:b/>
          <w:color w:val="397CDD"/>
          <w:sz w:val="20"/>
          <w:shd w:fill="E8F0FB"/>
        </w:rPr>
        <w:t>[ ]</w:t>
      </w:r>
      <w:r>
        <w:rPr>
          <w:rFonts w:ascii="Arial" w:hAnsi="Arial"/>
          <w:color w:val="263A43"/>
          <w:sz w:val="20"/>
        </w:rPr>
        <w:t xml:space="preserve">, período </w:t>
      </w:r>
      <w:r>
        <w:rPr>
          <w:rFonts w:ascii="Arial" w:hAnsi="Arial"/>
          <w:b/>
          <w:color w:val="397CDD"/>
          <w:sz w:val="20"/>
          <w:shd w:fill="E8F0FB"/>
        </w:rPr>
        <w:t>[ ]</w:t>
      </w:r>
      <w:r>
        <w:rPr>
          <w:rFonts w:ascii="Arial" w:hAnsi="Arial"/>
          <w:color w:val="263A43"/>
          <w:sz w:val="20"/>
        </w:rPr>
        <w:t xml:space="preserve">, clave de liquidación </w:t>
      </w:r>
      <w:r>
        <w:rPr>
          <w:rFonts w:ascii="Arial" w:hAnsi="Arial"/>
          <w:b/>
          <w:color w:val="397CDD"/>
          <w:sz w:val="20"/>
          <w:shd w:fill="E8F0FB"/>
        </w:rPr>
        <w:t>[ ]</w:t>
      </w:r>
      <w:r>
        <w:rPr>
          <w:rFonts w:ascii="Arial" w:hAnsi="Arial"/>
          <w:color w:val="263A43"/>
          <w:sz w:val="20"/>
        </w:rPr>
        <w:t xml:space="preserve">, principal pendiente </w:t>
      </w:r>
      <w:r>
        <w:rPr>
          <w:rFonts w:ascii="Arial" w:hAnsi="Arial"/>
          <w:b/>
          <w:color w:val="397CDD"/>
          <w:sz w:val="20"/>
          <w:shd w:fill="E8F0FB"/>
        </w:rPr>
        <w:t>[ ]</w:t>
      </w:r>
      <w:r>
        <w:rPr>
          <w:rFonts w:ascii="Arial" w:hAnsi="Arial"/>
          <w:color w:val="263A43"/>
          <w:sz w:val="20"/>
        </w:rPr>
        <w:t xml:space="preserve">, vencimiento voluntario </w:t>
      </w:r>
      <w:r>
        <w:rPr>
          <w:rFonts w:ascii="Arial" w:hAnsi="Arial"/>
          <w:b/>
          <w:color w:val="397CDD"/>
          <w:sz w:val="20"/>
          <w:shd w:fill="E8F0FB"/>
        </w:rPr>
        <w:t>[ ]</w:t>
      </w:r>
      <w:r>
        <w:rPr>
          <w:rFonts w:ascii="Arial" w:hAnsi="Arial"/>
          <w:color w:val="263A43"/>
          <w:sz w:val="20"/>
        </w:rPr>
        <w:t xml:space="preserve">, estado recaudatorio </w:t>
      </w:r>
      <w:r>
        <w:rPr>
          <w:rFonts w:ascii="Arial" w:hAnsi="Arial"/>
          <w:b/>
          <w:color w:val="397CDD"/>
          <w:sz w:val="20"/>
          <w:shd w:fill="E8F0FB"/>
        </w:rPr>
        <w:t>[ ]</w:t>
      </w:r>
      <w:r>
        <w:rPr>
          <w:rFonts w:ascii="Arial" w:hAnsi="Arial"/>
          <w:color w:val="263A43"/>
          <w:sz w:val="20"/>
        </w:rPr>
        <w:t xml:space="preserve">; deuda 2 </w:t>
      </w:r>
      <w:r>
        <w:rPr>
          <w:rFonts w:ascii="Arial" w:hAnsi="Arial"/>
          <w:b/>
          <w:color w:val="397CDD"/>
          <w:sz w:val="20"/>
          <w:shd w:fill="E8F0FB"/>
        </w:rPr>
        <w:t>[ ]</w:t>
      </w:r>
      <w:r>
        <w:rPr>
          <w:rFonts w:ascii="Arial" w:hAnsi="Arial"/>
          <w:color w:val="263A43"/>
          <w:sz w:val="20"/>
        </w:rPr>
        <w:t xml:space="preserve">. El total principal solicitado es </w:t>
      </w:r>
      <w:r>
        <w:rPr>
          <w:rFonts w:ascii="Arial" w:hAnsi="Arial"/>
          <w:b/>
          <w:color w:val="397CDD"/>
          <w:sz w:val="20"/>
          <w:shd w:fill="E8F0FB"/>
        </w:rPr>
        <w:t>[ ]</w:t>
      </w:r>
      <w:r>
        <w:rPr>
          <w:rFonts w:ascii="Arial" w:hAnsi="Arial"/>
          <w:color w:val="263A43"/>
          <w:sz w:val="20"/>
        </w:rPr>
        <w:t xml:space="preserve"> euros, sin ocultar recargos, intereses o costas ya exigibles, cuyo detalle separado es </w:t>
      </w:r>
      <w:r>
        <w:rPr>
          <w:rFonts w:ascii="Arial" w:hAnsi="Arial"/>
          <w:b/>
          <w:color w:val="397CDD"/>
          <w:sz w:val="20"/>
          <w:shd w:fill="E8F0FB"/>
        </w:rPr>
        <w:t>[ ]</w:t>
      </w:r>
      <w:r>
        <w:rPr>
          <w:rFonts w:ascii="Arial" w:hAnsi="Arial"/>
          <w:color w:val="263A43"/>
          <w:sz w:val="20"/>
        </w:rPr>
        <w:t>.</w:t>
      </w:r>
    </w:p>
    <w:p>
      <w:pPr>
        <w:jc w:val="both"/>
      </w:pPr>
      <w:r>
        <w:rPr>
          <w:rFonts w:ascii="Arial" w:hAnsi="Arial"/>
          <w:color w:val="263A43"/>
          <w:sz w:val="20"/>
        </w:rPr>
        <w:t xml:space="preserve">Segundo. La imposibilidad actual de atender el pago en plazo deriva de </w:t>
      </w:r>
      <w:r>
        <w:rPr>
          <w:rFonts w:ascii="Arial" w:hAnsi="Arial"/>
          <w:b/>
          <w:color w:val="397CDD"/>
          <w:sz w:val="20"/>
          <w:shd w:fill="E8F0FB"/>
        </w:rPr>
        <w:t>[CAUSA TEMPORAL CON FECHAS Y CUANTÍAS]</w:t>
      </w:r>
      <w:r>
        <w:rPr>
          <w:rFonts w:ascii="Arial" w:hAnsi="Arial"/>
          <w:color w:val="263A43"/>
          <w:sz w:val="20"/>
        </w:rPr>
        <w:t xml:space="preserve">. Se acredita mediante </w:t>
      </w:r>
      <w:r>
        <w:rPr>
          <w:rFonts w:ascii="Arial" w:hAnsi="Arial"/>
          <w:b/>
          <w:color w:val="397CDD"/>
          <w:sz w:val="20"/>
          <w:shd w:fill="E8F0FB"/>
        </w:rPr>
        <w:t>[EXTRACTOS, IMPAGOS DE CLIENTES, DESFASE DE COBROS U OTROS]</w:t>
      </w:r>
      <w:r>
        <w:rPr>
          <w:rFonts w:ascii="Arial" w:hAnsi="Arial"/>
          <w:color w:val="263A43"/>
          <w:sz w:val="20"/>
        </w:rPr>
        <w:t xml:space="preserve">. La tesorería disponible es </w:t>
      </w:r>
      <w:r>
        <w:rPr>
          <w:rFonts w:ascii="Arial" w:hAnsi="Arial"/>
          <w:b/>
          <w:color w:val="397CDD"/>
          <w:sz w:val="20"/>
          <w:shd w:fill="E8F0FB"/>
        </w:rPr>
        <w:t>[ ]</w:t>
      </w:r>
      <w:r>
        <w:rPr>
          <w:rFonts w:ascii="Arial" w:hAnsi="Arial"/>
          <w:color w:val="263A43"/>
          <w:sz w:val="20"/>
        </w:rPr>
        <w:t xml:space="preserve">, los cobros razonablemente previstos son </w:t>
      </w:r>
      <w:r>
        <w:rPr>
          <w:rFonts w:ascii="Arial" w:hAnsi="Arial"/>
          <w:b/>
          <w:color w:val="397CDD"/>
          <w:sz w:val="20"/>
          <w:shd w:fill="E8F0FB"/>
        </w:rPr>
        <w:t>[ ]</w:t>
      </w:r>
      <w:r>
        <w:rPr>
          <w:rFonts w:ascii="Arial" w:hAnsi="Arial"/>
          <w:color w:val="263A43"/>
          <w:sz w:val="20"/>
        </w:rPr>
        <w:t xml:space="preserve"> y los pagos esenciales del período son </w:t>
      </w:r>
      <w:r>
        <w:rPr>
          <w:rFonts w:ascii="Arial" w:hAnsi="Arial"/>
          <w:b/>
          <w:color w:val="397CDD"/>
          <w:sz w:val="20"/>
          <w:shd w:fill="E8F0FB"/>
        </w:rPr>
        <w:t>[ ]</w:t>
      </w:r>
      <w:r>
        <w:rPr>
          <w:rFonts w:ascii="Arial" w:hAnsi="Arial"/>
          <w:color w:val="263A43"/>
          <w:sz w:val="20"/>
        </w:rPr>
        <w:t>, según el estado adjunto.</w:t>
      </w:r>
    </w:p>
    <w:p>
      <w:pPr>
        <w:jc w:val="both"/>
      </w:pPr>
      <w:r>
        <w:rPr>
          <w:rFonts w:ascii="Arial" w:hAnsi="Arial"/>
          <w:color w:val="263A43"/>
          <w:sz w:val="20"/>
        </w:rPr>
        <w:t xml:space="preserve">Tercero. La dificultad es transitoria porque </w:t>
      </w:r>
      <w:r>
        <w:rPr>
          <w:rFonts w:ascii="Arial" w:hAnsi="Arial"/>
          <w:b/>
          <w:color w:val="397CDD"/>
          <w:sz w:val="20"/>
          <w:shd w:fill="E8F0FB"/>
        </w:rPr>
        <w:t>[HECHOS QUE PERMITEN PREVER RECUPERACIÓN]</w:t>
      </w:r>
      <w:r>
        <w:rPr>
          <w:rFonts w:ascii="Arial" w:hAnsi="Arial"/>
          <w:color w:val="263A43"/>
          <w:sz w:val="20"/>
        </w:rPr>
        <w:t xml:space="preserve">, con cobros documentados en </w:t>
      </w:r>
      <w:r>
        <w:rPr>
          <w:rFonts w:ascii="Arial" w:hAnsi="Arial"/>
          <w:b/>
          <w:color w:val="397CDD"/>
          <w:sz w:val="20"/>
          <w:shd w:fill="E8F0FB"/>
        </w:rPr>
        <w:t>[CONTRATOS, FACTURAS Y FECHAS]</w:t>
      </w:r>
      <w:r>
        <w:rPr>
          <w:rFonts w:ascii="Arial" w:hAnsi="Arial"/>
          <w:color w:val="263A43"/>
          <w:sz w:val="20"/>
        </w:rPr>
        <w:t xml:space="preserve">. Se acompaña previsión de caja para </w:t>
      </w:r>
      <w:r>
        <w:rPr>
          <w:rFonts w:ascii="Arial" w:hAnsi="Arial"/>
          <w:b/>
          <w:color w:val="397CDD"/>
          <w:sz w:val="20"/>
          <w:shd w:fill="E8F0FB"/>
        </w:rPr>
        <w:t>[PERÍODO]</w:t>
      </w:r>
      <w:r>
        <w:rPr>
          <w:rFonts w:ascii="Arial" w:hAnsi="Arial"/>
          <w:color w:val="263A43"/>
          <w:sz w:val="20"/>
        </w:rPr>
        <w:t>, incluyendo las obligaciones tributarias corrientes además de las cuotas solicitadas.</w:t>
      </w:r>
    </w:p>
    <w:p>
      <w:pPr>
        <w:jc w:val="both"/>
      </w:pPr>
      <w:r>
        <w:rPr>
          <w:rFonts w:ascii="Arial" w:hAnsi="Arial"/>
          <w:color w:val="263A43"/>
          <w:sz w:val="20"/>
        </w:rPr>
        <w:t xml:space="preserve">Cuarto. Se ha comprobado que las deudas no se encuentran en los supuestos de inadmisión o inaplazabilidad del artículo 65.2 de la Ley General Tributaria. Respecto de conceptos con regla específica, la circunstancia que permite solicitar el aplazamiento es </w:t>
      </w:r>
      <w:r>
        <w:rPr>
          <w:rFonts w:ascii="Arial" w:hAnsi="Arial"/>
          <w:b/>
          <w:color w:val="397CDD"/>
          <w:sz w:val="20"/>
          <w:shd w:fill="E8F0FB"/>
        </w:rPr>
        <w:t>[SUPUESTO Y PRUEBA; POR EJEMPLO, CUOTAS REPERCUTIDAS NO COBRADAS CUANDO SEA LEGALMENTE RELEVANTE]</w:t>
      </w:r>
      <w:r>
        <w:rPr>
          <w:rFonts w:ascii="Arial" w:hAnsi="Arial"/>
          <w:color w:val="263A43"/>
          <w:sz w:val="20"/>
        </w:rPr>
        <w:t>. No basta una declaración genérica si se exige acreditación adicional.</w:t>
      </w:r>
    </w:p>
    <w:p>
      <w:pPr>
        <w:jc w:val="both"/>
      </w:pPr>
      <w:r>
        <w:rPr>
          <w:rFonts w:ascii="Arial" w:hAnsi="Arial"/>
          <w:color w:val="263A43"/>
          <w:sz w:val="20"/>
        </w:rPr>
        <w:t xml:space="preserve">Quinto. Se propone el siguiente calendario de principal, sujeto a los vencimientos admitidos por la sede y a los intereses legales: cuota 1, fecha </w:t>
      </w:r>
      <w:r>
        <w:rPr>
          <w:rFonts w:ascii="Arial" w:hAnsi="Arial"/>
          <w:b/>
          <w:color w:val="397CDD"/>
          <w:sz w:val="20"/>
          <w:shd w:fill="E8F0FB"/>
        </w:rPr>
        <w:t>[ ]</w:t>
      </w:r>
      <w:r>
        <w:rPr>
          <w:rFonts w:ascii="Arial" w:hAnsi="Arial"/>
          <w:color w:val="263A43"/>
          <w:sz w:val="20"/>
        </w:rPr>
        <w:t xml:space="preserve">, importe </w:t>
      </w:r>
      <w:r>
        <w:rPr>
          <w:rFonts w:ascii="Arial" w:hAnsi="Arial"/>
          <w:b/>
          <w:color w:val="397CDD"/>
          <w:sz w:val="20"/>
          <w:shd w:fill="E8F0FB"/>
        </w:rPr>
        <w:t>[ ]</w:t>
      </w:r>
      <w:r>
        <w:rPr>
          <w:rFonts w:ascii="Arial" w:hAnsi="Arial"/>
          <w:color w:val="263A43"/>
          <w:sz w:val="20"/>
        </w:rPr>
        <w:t xml:space="preserve">; cuota 2 </w:t>
      </w:r>
      <w:r>
        <w:rPr>
          <w:rFonts w:ascii="Arial" w:hAnsi="Arial"/>
          <w:b/>
          <w:color w:val="397CDD"/>
          <w:sz w:val="20"/>
          <w:shd w:fill="E8F0FB"/>
        </w:rPr>
        <w:t>[ ]</w:t>
      </w:r>
      <w:r>
        <w:rPr>
          <w:rFonts w:ascii="Arial" w:hAnsi="Arial"/>
          <w:color w:val="263A43"/>
          <w:sz w:val="20"/>
        </w:rPr>
        <w:t xml:space="preserve">; cuota 3 </w:t>
      </w:r>
      <w:r>
        <w:rPr>
          <w:rFonts w:ascii="Arial" w:hAnsi="Arial"/>
          <w:b/>
          <w:color w:val="397CDD"/>
          <w:sz w:val="20"/>
          <w:shd w:fill="E8F0FB"/>
        </w:rPr>
        <w:t>[ ]</w:t>
      </w:r>
      <w:r>
        <w:rPr>
          <w:rFonts w:ascii="Arial" w:hAnsi="Arial"/>
          <w:color w:val="263A43"/>
          <w:sz w:val="20"/>
        </w:rPr>
        <w:t xml:space="preserve">; cuotas restantes según anexo </w:t>
      </w:r>
      <w:r>
        <w:rPr>
          <w:rFonts w:ascii="Arial" w:hAnsi="Arial"/>
          <w:b/>
          <w:color w:val="397CDD"/>
          <w:sz w:val="20"/>
          <w:shd w:fill="E8F0FB"/>
        </w:rPr>
        <w:t>[ ]</w:t>
      </w:r>
      <w:r>
        <w:rPr>
          <w:rFonts w:ascii="Arial" w:hAnsi="Arial"/>
          <w:color w:val="263A43"/>
          <w:sz w:val="20"/>
        </w:rPr>
        <w:t xml:space="preserve">. La suma del principal de todas las cuotas coincide con </w:t>
      </w:r>
      <w:r>
        <w:rPr>
          <w:rFonts w:ascii="Arial" w:hAnsi="Arial"/>
          <w:b/>
          <w:color w:val="397CDD"/>
          <w:sz w:val="20"/>
          <w:shd w:fill="E8F0FB"/>
        </w:rPr>
        <w:t>[TOTAL]</w:t>
      </w:r>
      <w:r>
        <w:rPr>
          <w:rFonts w:ascii="Arial" w:hAnsi="Arial"/>
          <w:color w:val="263A43"/>
          <w:sz w:val="20"/>
        </w:rPr>
        <w:t xml:space="preserve">. Se solicita cargar los vencimientos en </w:t>
      </w:r>
      <w:r>
        <w:rPr>
          <w:rFonts w:ascii="Arial" w:hAnsi="Arial"/>
          <w:b/>
          <w:color w:val="397CDD"/>
          <w:sz w:val="20"/>
          <w:shd w:fill="E8F0FB"/>
        </w:rPr>
        <w:t>[IBAN Y TITULAR]</w:t>
      </w:r>
      <w:r>
        <w:rPr>
          <w:rFonts w:ascii="Arial" w:hAnsi="Arial"/>
          <w:color w:val="263A43"/>
          <w:sz w:val="20"/>
        </w:rPr>
        <w:t>, mediante la domiciliación formalizada en el formulario.</w:t>
      </w:r>
    </w:p>
    <w:p>
      <w:pPr>
        <w:jc w:val="both"/>
      </w:pPr>
      <w:r>
        <w:rPr>
          <w:rFonts w:ascii="Arial" w:hAnsi="Arial"/>
          <w:color w:val="263A43"/>
          <w:sz w:val="20"/>
        </w:rPr>
        <w:t xml:space="preserve">Sexto. En materia de garantías se utiliza exclusivamente la opción procedente: </w:t>
      </w:r>
      <w:r>
        <w:rPr>
          <w:rFonts w:ascii="Arial" w:hAnsi="Arial"/>
          <w:b/>
          <w:color w:val="397CDD"/>
          <w:sz w:val="20"/>
          <w:shd w:fill="E8F0FB"/>
        </w:rPr>
        <w:t>[GARANTÍA OFRECIDA, ENTIDAD, IMPORTE Y DOCUMENTO / EXENCIÓN POR NORMA APLICABLE, CON COMPROBACIÓN DEL CONJUNTO DE DEUDAS COMPUTABLES / DISPENSA SOLICITADA Y DOCUMENTACIÓN ESPECÍFICA]</w:t>
      </w:r>
      <w:r>
        <w:rPr>
          <w:rFonts w:ascii="Arial" w:hAnsi="Arial"/>
          <w:color w:val="263A43"/>
          <w:sz w:val="20"/>
        </w:rPr>
        <w:t>. No se presume que la mera cuantía de una sola deuda determine la exención ni que una petición de dispensa equivalga a su concesión.</w:t>
      </w:r>
    </w:p>
    <w:p>
      <w:pPr>
        <w:pStyle w:val="Heading2"/>
      </w:pPr>
      <w:r>
        <w:t>SOLICITA</w:t>
      </w:r>
    </w:p>
    <w:p>
      <w:pPr>
        <w:jc w:val="both"/>
      </w:pPr>
      <w:r>
        <w:rPr>
          <w:rFonts w:ascii="Arial" w:hAnsi="Arial"/>
          <w:color w:val="263A43"/>
          <w:sz w:val="20"/>
        </w:rPr>
        <w:t xml:space="preserve">Que tramite la solicitud oficial identificada, incorpore esta memoria y conceda </w:t>
      </w:r>
      <w:r>
        <w:rPr>
          <w:rFonts w:ascii="Arial" w:hAnsi="Arial"/>
          <w:b/>
          <w:color w:val="397CDD"/>
          <w:sz w:val="20"/>
          <w:shd w:fill="E8F0FB"/>
        </w:rPr>
        <w:t>[APLAZAMIENTO HASTA FECHA / FRACCIONAMIENTO SEGÚN CALENDARIO]</w:t>
      </w:r>
      <w:r>
        <w:rPr>
          <w:rFonts w:ascii="Arial" w:hAnsi="Arial"/>
          <w:color w:val="263A43"/>
          <w:sz w:val="20"/>
        </w:rPr>
        <w:t xml:space="preserve"> de las deudas concretadas, con los intereses, garantías y condiciones legalmente procedentes.</w:t>
      </w:r>
    </w:p>
    <w:p>
      <w:pPr>
        <w:jc w:val="both"/>
      </w:pPr>
      <w:r>
        <w:rPr>
          <w:rFonts w:ascii="Arial" w:hAnsi="Arial"/>
          <w:color w:val="263A43"/>
          <w:sz w:val="20"/>
        </w:rPr>
        <w:t xml:space="preserve">Subsidiariamente, que valore un calendario alternativo compatible con la capacidad acreditada de </w:t>
      </w:r>
      <w:r>
        <w:rPr>
          <w:rFonts w:ascii="Arial" w:hAnsi="Arial"/>
          <w:b/>
          <w:color w:val="397CDD"/>
          <w:sz w:val="20"/>
          <w:shd w:fill="E8F0FB"/>
        </w:rPr>
        <w:t>[IMPORTE PERIÓDICO]</w:t>
      </w:r>
      <w:r>
        <w:rPr>
          <w:rFonts w:ascii="Arial" w:hAnsi="Arial"/>
          <w:color w:val="263A43"/>
          <w:sz w:val="20"/>
        </w:rPr>
        <w:t>, sin perjuicio de la competencia del órgano para resolver conforme a la normativa.</w:t>
      </w:r>
    </w:p>
    <w:p>
      <w:pPr>
        <w:jc w:val="both"/>
      </w:pPr>
      <w:r>
        <w:rPr>
          <w:rFonts w:ascii="Arial" w:hAnsi="Arial"/>
          <w:color w:val="263A43"/>
          <w:sz w:val="20"/>
        </w:rPr>
        <w:t>Que comunique cualquier requerimiento de subsanación y el régimen de pago aplicable mientras se tramita la solicitud. No se solicita por este escrito la suspensión de un recurso ni se considera concedido el aplazamiento por su mera presentación.</w:t>
      </w:r>
    </w:p>
    <w:p>
      <w:pPr>
        <w:jc w:val="both"/>
      </w:pPr>
      <w:r>
        <w:rPr>
          <w:rFonts w:ascii="Arial" w:hAnsi="Arial"/>
          <w:color w:val="263A43"/>
          <w:sz w:val="20"/>
        </w:rPr>
        <w:t xml:space="preserve">En </w:t>
      </w:r>
      <w:r>
        <w:rPr>
          <w:rFonts w:ascii="Arial" w:hAnsi="Arial"/>
          <w:b/>
          <w:color w:val="397CDD"/>
          <w:sz w:val="20"/>
          <w:shd w:fill="E8F0FB"/>
        </w:rPr>
        <w:t>[LOCALIDAD]</w:t>
      </w:r>
      <w:r>
        <w:rPr>
          <w:rFonts w:ascii="Arial" w:hAnsi="Arial"/>
          <w:color w:val="263A43"/>
          <w:sz w:val="20"/>
        </w:rPr>
        <w:t xml:space="preserve">, a </w:t>
      </w:r>
      <w:r>
        <w:rPr>
          <w:rFonts w:ascii="Arial" w:hAnsi="Arial"/>
          <w:b/>
          <w:color w:val="397CDD"/>
          <w:sz w:val="20"/>
          <w:shd w:fill="E8F0FB"/>
        </w:rPr>
        <w:t>[FECHA]</w:t>
      </w:r>
      <w:r>
        <w:rPr>
          <w:rFonts w:ascii="Arial" w:hAnsi="Arial"/>
          <w:color w:val="263A43"/>
          <w:sz w:val="20"/>
        </w:rPr>
        <w:t xml:space="preserve">. Firma: </w:t>
      </w:r>
      <w:r>
        <w:rPr>
          <w:rFonts w:ascii="Arial" w:hAnsi="Arial"/>
          <w:b/>
          <w:color w:val="397CDD"/>
          <w:sz w:val="20"/>
          <w:shd w:fill="E8F0FB"/>
        </w:rPr>
        <w:t>[ ]</w:t>
      </w:r>
      <w:r>
        <w:rPr>
          <w:rFonts w:ascii="Arial" w:hAnsi="Arial"/>
          <w:color w:val="263A43"/>
          <w:sz w:val="20"/>
        </w:rPr>
        <w:t>.</w:t>
      </w:r>
    </w:p>
    <w:p>
      <w:pPr>
        <w:jc w:val="both"/>
      </w:pPr>
      <w:r>
        <w:rPr>
          <w:rFonts w:ascii="Arial" w:hAnsi="Arial"/>
          <w:color w:val="263A43"/>
          <w:sz w:val="20"/>
        </w:rPr>
        <w:t>Anexos: deudas; tesorería; previsión de cobros; calendario; garantías/dispensa; acreditación de la cuenta.</w:t>
      </w:r>
    </w:p>
    <w:p>
      <w:r>
        <w:br w:type="page"/>
      </w:r>
    </w:p>
    <w:p>
      <w:pPr>
        <w:pStyle w:val="Heading1"/>
        <w:jc w:val="center"/>
      </w:pPr>
      <w:r>
        <w:t>GUÍA DE REVISIÓN · NO ADJUNTAR AL ESCRITO</w:t>
      </w:r>
    </w:p>
    <w:p>
      <w:pPr>
        <w:pStyle w:val="Heading2"/>
      </w:pPr>
      <w:r>
        <w:t>Finalidad</w:t>
      </w:r>
    </w:p>
    <w:p>
      <w:pPr>
        <w:jc w:val="both"/>
      </w:pPr>
      <w:r>
        <w:rPr>
          <w:rFonts w:ascii="Arial" w:hAnsi="Arial"/>
          <w:color w:val="263A43"/>
          <w:sz w:val="20"/>
        </w:rPr>
        <w:t>Aportar memoria económica y un calendario viable a una solicitud oficial de pago diferido.</w:t>
      </w:r>
    </w:p>
    <w:p>
      <w:pPr>
        <w:pStyle w:val="Heading2"/>
      </w:pPr>
      <w:r>
        <w:t>Cuándo utilizarlo</w:t>
      </w:r>
    </w:p>
    <w:p>
      <w:pPr>
        <w:jc w:val="both"/>
      </w:pPr>
      <w:r>
        <w:rPr>
          <w:rFonts w:ascii="Arial" w:hAnsi="Arial"/>
          <w:color w:val="263A43"/>
          <w:sz w:val="20"/>
        </w:rPr>
        <w:t>Dificultad económico-financiera transitoria y deuda legalmente aplazable, con posibilidad razonable de cumplir un calendario.</w:t>
      </w:r>
    </w:p>
    <w:p>
      <w:pPr>
        <w:pStyle w:val="Heading2"/>
      </w:pPr>
      <w:r>
        <w:t>Cuándo no utilizarlo</w:t>
      </w:r>
    </w:p>
    <w:p>
      <w:pPr>
        <w:jc w:val="both"/>
      </w:pPr>
      <w:r>
        <w:rPr>
          <w:rFonts w:ascii="Arial" w:hAnsi="Arial"/>
          <w:color w:val="263A43"/>
          <w:sz w:val="20"/>
        </w:rPr>
        <w:t>Deudas legalmente inaplazables; crisis estructural sin plan viable; solicitud para paralizar artificiosamente el cobro; cuotas e impuestos especiales sin revisar régimen.</w:t>
      </w:r>
    </w:p>
    <w:p>
      <w:pPr>
        <w:pStyle w:val="Heading2"/>
      </w:pPr>
      <w:r>
        <w:t>Plazos</w:t>
      </w:r>
    </w:p>
    <w:p>
      <w:pPr>
        <w:jc w:val="both"/>
      </w:pPr>
      <w:r>
        <w:rPr>
          <w:rFonts w:ascii="Arial" w:hAnsi="Arial"/>
          <w:color w:val="263A43"/>
          <w:sz w:val="20"/>
        </w:rPr>
        <w:t>Preferiblemente antes del fin del período voluntario. La solicitud admisible en período voluntario impide el inicio del ejecutivo en los términos legales, pero devenga intereses. En ejecutivo no supone paralización general de la recaudación.</w:t>
      </w:r>
    </w:p>
    <w:p>
      <w:pPr>
        <w:pStyle w:val="Heading2"/>
      </w:pPr>
      <w:r>
        <w:t>Dónde y cómo presentarlo</w:t>
      </w:r>
    </w:p>
    <w:p>
      <w:pPr>
        <w:jc w:val="both"/>
      </w:pPr>
      <w:r>
        <w:rPr>
          <w:rFonts w:ascii="Arial" w:hAnsi="Arial"/>
          <w:color w:val="263A43"/>
          <w:sz w:val="20"/>
        </w:rPr>
        <w:t>Sede electrónica y formulario oficial de aplazamientos de la Administración competente; el texto es memoria/anexo y no sustituye campos, domiciliación ni garantías exigidos.</w:t>
      </w:r>
    </w:p>
    <w:p>
      <w:pPr>
        <w:pStyle w:val="Heading2"/>
      </w:pPr>
      <w:r>
        <w:t>Intervención y revisión profesional</w:t>
      </w:r>
    </w:p>
    <w:p>
      <w:pPr>
        <w:jc w:val="both"/>
      </w:pPr>
      <w:r>
        <w:rPr>
          <w:rFonts w:ascii="Arial" w:hAnsi="Arial"/>
          <w:color w:val="263A43"/>
          <w:sz w:val="20"/>
        </w:rPr>
        <w:t>Revisión recomendable; reforzada ante cuantía alta, reiteración, deuda ejecutiva o garantías reales/personales.</w:t>
      </w:r>
    </w:p>
    <w:p>
      <w:pPr>
        <w:pStyle w:val="Heading2"/>
      </w:pPr>
      <w:r>
        <w:t>Documentación</w:t>
      </w:r>
    </w:p>
    <w:p>
      <w:pPr>
        <w:jc w:val="both"/>
      </w:pPr>
      <w:r>
        <w:rPr>
          <w:rFonts w:ascii="Arial" w:hAnsi="Arial"/>
          <w:color w:val="263A43"/>
          <w:sz w:val="20"/>
        </w:rPr>
        <w:t>Relación de deudas; tesorería y bancos; cobros previstos acreditados; gastos; plan de pagos; garantías o base de dispensa; cuenta de cargo.</w:t>
      </w:r>
    </w:p>
    <w:p>
      <w:pPr>
        <w:pStyle w:val="Heading2"/>
      </w:pPr>
      <w:r>
        <w:t>Auditoría de seguridad</w:t>
      </w:r>
    </w:p>
    <w:p>
      <w:pPr>
        <w:jc w:val="both"/>
      </w:pPr>
      <w:r>
        <w:rPr>
          <w:rFonts w:ascii="Arial" w:hAnsi="Arial"/>
          <w:color w:val="263A43"/>
          <w:sz w:val="20"/>
        </w:rPr>
        <w:t>No toda deuda es aplazable y la concesión no es automática. No se fija una exención de garantía universal ni se confunde iliquidez temporal con insolvencia estructural.</w:t>
      </w:r>
    </w:p>
    <w:p>
      <w:pPr>
        <w:pStyle w:val="Heading2"/>
      </w:pPr>
      <w:r>
        <w:t>Advertencias específicas</w:t>
      </w:r>
    </w:p>
    <w:p>
      <w:pPr>
        <w:jc w:val="both"/>
      </w:pPr>
      <w:r>
        <w:rPr>
          <w:rFonts w:ascii="Arial" w:hAnsi="Arial"/>
          <w:color w:val="263A43"/>
          <w:sz w:val="20"/>
        </w:rPr>
        <w:t>Ámbito tributario estatal de régimen común. No trasladar automáticamente a haciendas forales, tributos locales, aduanas o asistencia mutua. Verificar el tributo, período, órgano, sede y normativa del procedimiento. La presentación de un escrito libre no sustituye un modelo oficial exigible ni produce por sí sola suspensión. Conservar notificaciones, CSV, acuses y copia íntegra.</w:t>
      </w:r>
    </w:p>
    <w:p>
      <w:pPr>
        <w:pStyle w:val="Heading2"/>
      </w:pPr>
      <w:r>
        <w:t>Cumplimentación</w:t>
      </w:r>
    </w:p>
    <w:p>
      <w:pPr>
        <w:jc w:val="both"/>
      </w:pPr>
      <w:r>
        <w:rPr>
          <w:rFonts w:ascii="Arial" w:hAnsi="Arial"/>
          <w:color w:val="263A43"/>
          <w:sz w:val="20"/>
        </w:rPr>
        <w:t>Sustituya todos los campos entre corchetes por datos comprobados. Repita filas o registros de los anexos cuando sea necesario. Conserve una sola alternativa cuando se indique. Elimine controles internos, instrucciones y guía antes de enviar; revise cifras, plazos, representación, destinatario y firmas. No antedate ni afirme pagos, acuerdos o notificaciones inexistentes.</w:t>
      </w:r>
    </w:p>
    <w:p>
      <w:pPr>
        <w:pStyle w:val="Heading2"/>
      </w:pPr>
      <w:r>
        <w:t>Campos editables</w:t>
      </w:r>
    </w:p>
    <w:p>
      <w:pPr>
        <w:pStyle w:val="ListBullet"/>
      </w:pPr>
      <w:r>
        <w:rPr>
          <w:rFonts w:ascii="Arial" w:hAnsi="Arial"/>
          <w:color w:val="263A43"/>
          <w:sz w:val="20"/>
        </w:rPr>
        <w:t>ADMINISTRACIÓN TRIBUTARIA — ÓRGANO DE RECAUDACIÓN</w:t>
      </w:r>
    </w:p>
    <w:p>
      <w:pPr>
        <w:pStyle w:val="ListBullet"/>
      </w:pPr>
      <w:r>
        <w:rPr>
          <w:rFonts w:ascii="Arial" w:hAnsi="Arial"/>
          <w:color w:val="263A43"/>
          <w:sz w:val="20"/>
        </w:rPr>
        <w:t>APLAZAMIENTO / FRACCIONAMIENTO</w:t>
      </w:r>
    </w:p>
    <w:p>
      <w:pPr>
        <w:pStyle w:val="ListBullet"/>
      </w:pPr>
      <w:r>
        <w:rPr>
          <w:rFonts w:ascii="Arial" w:hAnsi="Arial"/>
          <w:color w:val="263A43"/>
          <w:sz w:val="20"/>
        </w:rPr>
        <w:t>REFERENCIA O PRESENTACIÓN SIMULTÁNEA</w:t>
      </w:r>
    </w:p>
    <w:p>
      <w:pPr>
        <w:pStyle w:val="ListBullet"/>
      </w:pPr>
      <w:r>
        <w:rPr>
          <w:rFonts w:ascii="Arial" w:hAnsi="Arial"/>
          <w:color w:val="263A43"/>
          <w:sz w:val="20"/>
        </w:rPr>
        <w:t>NOMBRE O RAZÓN SOCIAL</w:t>
      </w:r>
    </w:p>
    <w:p>
      <w:pPr>
        <w:jc w:val="both"/>
      </w:pPr>
      <w:r>
        <w:rPr>
          <w:rFonts w:ascii="Arial" w:hAnsi="Arial"/>
          <w:color w:val="263A43"/>
          <w:sz w:val="20"/>
        </w:rPr>
        <w:t>-</w:t>
      </w:r>
    </w:p>
    <w:p>
      <w:pPr>
        <w:pStyle w:val="ListBullet"/>
      </w:pPr>
      <w:r>
        <w:rPr>
          <w:rFonts w:ascii="Arial" w:hAnsi="Arial"/>
          <w:color w:val="263A43"/>
          <w:sz w:val="20"/>
        </w:rPr>
        <w:t>CAUSA TEMPORAL CON FECHAS Y CUANTÍAS</w:t>
      </w:r>
    </w:p>
    <w:p>
      <w:pPr>
        <w:pStyle w:val="ListBullet"/>
      </w:pPr>
      <w:r>
        <w:rPr>
          <w:rFonts w:ascii="Arial" w:hAnsi="Arial"/>
          <w:color w:val="263A43"/>
          <w:sz w:val="20"/>
        </w:rPr>
        <w:t>EXTRACTOS, IMPAGOS DE CLIENTES, DESFASE DE COBROS U OTROS</w:t>
      </w:r>
    </w:p>
    <w:p>
      <w:pPr>
        <w:pStyle w:val="ListBullet"/>
      </w:pPr>
      <w:r>
        <w:rPr>
          <w:rFonts w:ascii="Arial" w:hAnsi="Arial"/>
          <w:color w:val="263A43"/>
          <w:sz w:val="20"/>
        </w:rPr>
        <w:t>HECHOS QUE PERMITEN PREVER RECUPERACIÓN</w:t>
      </w:r>
    </w:p>
    <w:p>
      <w:pPr>
        <w:pStyle w:val="ListBullet"/>
      </w:pPr>
      <w:r>
        <w:rPr>
          <w:rFonts w:ascii="Arial" w:hAnsi="Arial"/>
          <w:color w:val="263A43"/>
          <w:sz w:val="20"/>
        </w:rPr>
        <w:t>CONTRATOS, FACTURAS Y FECHAS</w:t>
      </w:r>
    </w:p>
    <w:p>
      <w:pPr>
        <w:pStyle w:val="ListBullet"/>
      </w:pPr>
      <w:r>
        <w:rPr>
          <w:rFonts w:ascii="Arial" w:hAnsi="Arial"/>
          <w:color w:val="263A43"/>
          <w:sz w:val="20"/>
        </w:rPr>
        <w:t>PERÍODO</w:t>
      </w:r>
    </w:p>
    <w:p>
      <w:pPr>
        <w:pStyle w:val="ListBullet"/>
      </w:pPr>
      <w:r>
        <w:rPr>
          <w:rFonts w:ascii="Arial" w:hAnsi="Arial"/>
          <w:color w:val="263A43"/>
          <w:sz w:val="20"/>
        </w:rPr>
        <w:t>SUPUESTO Y PRUEBA; POR EJEMPLO, CUOTAS REPERCUTIDAS NO COBRADAS CUANDO SEA LEGALMENTE RELEVANTE</w:t>
      </w:r>
    </w:p>
    <w:p>
      <w:pPr>
        <w:pStyle w:val="ListBullet"/>
      </w:pPr>
      <w:r>
        <w:rPr>
          <w:rFonts w:ascii="Arial" w:hAnsi="Arial"/>
          <w:color w:val="263A43"/>
          <w:sz w:val="20"/>
        </w:rPr>
        <w:t>TOTAL</w:t>
      </w:r>
    </w:p>
    <w:p>
      <w:pPr>
        <w:pStyle w:val="ListBullet"/>
      </w:pPr>
      <w:r>
        <w:rPr>
          <w:rFonts w:ascii="Arial" w:hAnsi="Arial"/>
          <w:color w:val="263A43"/>
          <w:sz w:val="20"/>
        </w:rPr>
        <w:t>IBAN Y TITULAR</w:t>
      </w:r>
    </w:p>
    <w:p>
      <w:pPr>
        <w:pStyle w:val="ListBullet"/>
      </w:pPr>
      <w:r>
        <w:rPr>
          <w:rFonts w:ascii="Arial" w:hAnsi="Arial"/>
          <w:color w:val="263A43"/>
          <w:sz w:val="20"/>
        </w:rPr>
        <w:t>GARANTÍA OFRECIDA, ENTIDAD, IMPORTE Y DOCUMENTO / EXENCIÓN POR NORMA APLICABLE, CON COMPROBACIÓN DEL CONJUNTO DE DEUDAS COMPUTABLES / DISPENSA SOLICITADA Y DOCUMENTACIÓN ESPECÍFICA</w:t>
      </w:r>
    </w:p>
    <w:p>
      <w:pPr>
        <w:pStyle w:val="ListBullet"/>
      </w:pPr>
      <w:r>
        <w:rPr>
          <w:rFonts w:ascii="Arial" w:hAnsi="Arial"/>
          <w:color w:val="263A43"/>
          <w:sz w:val="20"/>
        </w:rPr>
        <w:t>APLAZAMIENTO HASTA FECHA / FRACCIONAMIENTO SEGÚN CALENDARIO</w:t>
      </w:r>
    </w:p>
    <w:p>
      <w:pPr>
        <w:pStyle w:val="ListBullet"/>
      </w:pPr>
      <w:r>
        <w:rPr>
          <w:rFonts w:ascii="Arial" w:hAnsi="Arial"/>
          <w:color w:val="263A43"/>
          <w:sz w:val="20"/>
        </w:rPr>
        <w:t>IMPORTE PERIÓDICO</w:t>
      </w:r>
    </w:p>
    <w:p>
      <w:pPr>
        <w:pStyle w:val="ListBullet"/>
      </w:pPr>
      <w:r>
        <w:rPr>
          <w:rFonts w:ascii="Arial" w:hAnsi="Arial"/>
          <w:color w:val="263A43"/>
          <w:sz w:val="20"/>
        </w:rPr>
        <w:t>LOCALIDAD</w:t>
      </w:r>
    </w:p>
    <w:p>
      <w:pPr>
        <w:pStyle w:val="ListBullet"/>
      </w:pPr>
      <w:r>
        <w:rPr>
          <w:rFonts w:ascii="Arial" w:hAnsi="Arial"/>
          <w:color w:val="263A43"/>
          <w:sz w:val="20"/>
        </w:rPr>
        <w:t>FECHA</w:t>
      </w:r>
    </w:p>
    <w:p>
      <w:pPr>
        <w:pStyle w:val="Heading2"/>
      </w:pPr>
      <w:r>
        <w:t>Fuentes oficiales</w:t>
      </w:r>
    </w:p>
    <w:p>
      <w:pPr>
        <w:pStyle w:val="ListBullet"/>
      </w:pPr>
      <w:r>
        <w:rPr>
          <w:rFonts w:ascii="Arial" w:hAnsi="Arial"/>
          <w:color w:val="263A43"/>
          <w:sz w:val="20"/>
        </w:rPr>
        <w:t>Ley 58/2003, General Tributaria — https://www.boe.es/eli/es/l/2003/12/17/58/con: arts. 26, 65 y 82.</w:t>
      </w:r>
    </w:p>
    <w:p>
      <w:pPr>
        <w:pStyle w:val="ListBullet"/>
      </w:pPr>
      <w:r>
        <w:rPr>
          <w:rFonts w:ascii="Arial" w:hAnsi="Arial"/>
          <w:color w:val="263A43"/>
          <w:sz w:val="20"/>
        </w:rPr>
        <w:t>RD 939/2005, Reglamento General de Recaudación — https://www.boe.es/eli/es/rd/2005/07/29/939/con: arts. 44 a 54.</w:t>
      </w:r>
    </w:p>
    <w:p>
      <w:pPr>
        <w:jc w:val="both"/>
      </w:pPr>
      <w:r>
        <w:rPr>
          <w:rFonts w:ascii="Arial" w:hAnsi="Arial"/>
          <w:color w:val="263A43"/>
          <w:sz w:val="20"/>
        </w:rPr>
        <w:t>Revisión normativa documental: 13 de septiembre de 2026. Comprueba la normativa, el procedimiento y los datos del caso antes de utilizarlo. Plantilla general: completar, contrastar documentos y eliminar las alternativas no aplicables. No garantiza un resultado ni sustituye actuaciones profesionales o formularios obligatorios.</w:t>
      </w:r>
    </w:p>
    <w:p>
      <w:pPr>
        <w:jc w:val="both"/>
      </w:pPr>
      <w:r>
        <w:rPr>
          <w:rFonts w:ascii="Arial" w:hAnsi="Arial"/>
          <w:color w:val="263A43"/>
          <w:sz w:val="20"/>
        </w:rPr>
        <w:t>El contraste se ha efectuado sobre las fuentes oficiales identificadas, no sobre todos los regímenes territoriales, convenios privados, bases de convocatoria, estatutos o jurisprudencia posible. Las versiones consolidadas facilitan la consulta pero debe comprobarse la publicación oficial y la vigencia temporal del precepto aplicable. No se ha efectuado una auditoría de duplicidades del catálogo actualmente publicado en la web.</w:t>
      </w:r>
    </w:p>
    <w:p>
      <w:pPr>
        <w:pStyle w:val="Heading1"/>
      </w:pPr>
      <w:r>
        <w:t>Fuentes oficiales verificadas</w:t>
      </w:r>
    </w:p>
    <w:p>
      <w:r>
        <w:rPr>
          <w:rFonts w:ascii="Arial" w:hAnsi="Arial"/>
          <w:i/>
          <w:color w:val="68777D"/>
          <w:sz w:val="16"/>
        </w:rPr>
        <w:t>Revisión documental: 13 de septiembre de 2026. Comprueba vigencia, competencia, procedimiento y plazo en la fecha de uso.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