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397CDD"/>
          <w:sz w:val="16"/>
        </w:rPr>
        <w:t>ADMINISTRATIVO</w:t>
      </w:r>
    </w:p>
    <w:p>
      <w:pPr>
        <w:pStyle w:val="Title"/>
        <w:jc w:val="center"/>
      </w:pPr>
      <w:r>
        <w:rPr>
          <w:rFonts w:ascii="Georgia" w:hAnsi="Georgia"/>
          <w:b/>
          <w:color w:val="102E3C"/>
          <w:sz w:val="42"/>
        </w:rPr>
        <w:t>Solicitud de acceso a información pública</w:t>
      </w:r>
    </w:p>
    <w:p>
      <w:pPr>
        <w:jc w:val="center"/>
      </w:pPr>
      <w:r>
        <w:rPr>
          <w:rFonts w:ascii="Arial" w:hAnsi="Arial"/>
          <w:color w:val="68777D"/>
          <w:sz w:val="20"/>
        </w:rPr>
        <w:t>Pedir documentos o contenidos públicos existentes, con alcance definido y alternativas de acceso parcial.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547"/>
      </w:tblGrid>
      <w:tr>
        <w:tc>
          <w:tcPr>
            <w:tcW w:type="dxa" w:w="9547"/>
            <w:shd w:fill="F4EFE7"/>
          </w:tcPr>
          <w:p>
            <w:r>
              <w:rPr>
                <w:rFonts w:ascii="Arial" w:hAnsi="Arial"/>
                <w:b/>
                <w:color w:val="102E3C"/>
                <w:sz w:val="20"/>
              </w:rPr>
              <w:t>MODELO EDITABLE · GUÍA DE USO</w:t>
            </w:r>
          </w:p>
          <w:p>
            <w:r>
              <w:rPr>
                <w:rFonts w:ascii="Arial" w:hAnsi="Arial"/>
                <w:color w:val="263A43"/>
                <w:sz w:val="20"/>
              </w:rPr>
              <w:t>Expediente en curso en el que se tiene condición de interesado; ejercicio de protección de datos; petición de asesoramiento, explicación nueva o elaboración no exigible.</w:t>
            </w:r>
          </w:p>
          <w:p>
            <w:r>
              <w:rPr>
                <w:rFonts w:ascii="Arial" w:hAnsi="Arial"/>
                <w:color w:val="263A43"/>
                <w:sz w:val="20"/>
              </w:rPr>
              <w:t>Completa solo datos comprobados, elimina alternativas incompatibles y conserva una copia y el justificante de presentación.</w:t>
            </w:r>
          </w:p>
        </w:tc>
      </w:tr>
    </w:tbl>
    <w:p>
      <w:pPr>
        <w:pStyle w:val="Heading1"/>
        <w:jc w:val="center"/>
      </w:pPr>
      <w:r>
        <w:t>MODELO EDITABLE</w:t>
      </w:r>
    </w:p>
    <w:p>
      <w:pPr>
        <w:pStyle w:val="Heading2"/>
      </w:pPr>
      <w:r>
        <w:t>AL ÓRGANO O UNIDAD DE TRANSPARENCIA DE [ENTIDAD]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D./D.ª </w:t>
      </w:r>
      <w:r>
        <w:rPr>
          <w:rFonts w:ascii="Arial" w:hAnsi="Arial"/>
          <w:b/>
          <w:color w:val="397CDD"/>
          <w:sz w:val="20"/>
          <w:shd w:fill="E8F0FB"/>
        </w:rPr>
        <w:t>[NOMBRE Y APELLIDOS O RAZÓN SOCIAL]</w:t>
      </w:r>
      <w:r>
        <w:rPr>
          <w:rFonts w:ascii="Arial" w:hAnsi="Arial"/>
          <w:color w:val="263A43"/>
          <w:sz w:val="20"/>
        </w:rPr>
        <w:t xml:space="preserve">, con identificación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representada, en su caso, por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señala como contacto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y medio de notificación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, y formula solicitud de acceso a información pública.</w:t>
      </w:r>
    </w:p>
    <w:p>
      <w:pPr>
        <w:pStyle w:val="Heading2"/>
      </w:pPr>
      <w:r>
        <w:t>EXPONE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Primero. La información solicitada se refiere a </w:t>
      </w:r>
      <w:r>
        <w:rPr>
          <w:rFonts w:ascii="Arial" w:hAnsi="Arial"/>
          <w:b/>
          <w:color w:val="397CDD"/>
          <w:sz w:val="20"/>
          <w:shd w:fill="E8F0FB"/>
        </w:rPr>
        <w:t>[ACTIVIDAD, CONTRATO, SUBVENCIÓN, ORGANIZACIÓN O MATERIA]</w:t>
      </w:r>
      <w:r>
        <w:rPr>
          <w:rFonts w:ascii="Arial" w:hAnsi="Arial"/>
          <w:color w:val="263A43"/>
          <w:sz w:val="20"/>
        </w:rPr>
        <w:t xml:space="preserve">, desarrollada por </w:t>
      </w:r>
      <w:r>
        <w:rPr>
          <w:rFonts w:ascii="Arial" w:hAnsi="Arial"/>
          <w:b/>
          <w:color w:val="397CDD"/>
          <w:sz w:val="20"/>
          <w:shd w:fill="E8F0FB"/>
        </w:rPr>
        <w:t>[ENTIDAD U ÓRGANO]</w:t>
      </w:r>
      <w:r>
        <w:rPr>
          <w:rFonts w:ascii="Arial" w:hAnsi="Arial"/>
          <w:color w:val="263A43"/>
          <w:sz w:val="20"/>
        </w:rPr>
        <w:t xml:space="preserve">, durante el período comprendido entre </w:t>
      </w:r>
      <w:r>
        <w:rPr>
          <w:rFonts w:ascii="Arial" w:hAnsi="Arial"/>
          <w:b/>
          <w:color w:val="397CDD"/>
          <w:sz w:val="20"/>
          <w:shd w:fill="E8F0FB"/>
        </w:rPr>
        <w:t>[FECHA INICIAL]</w:t>
      </w:r>
      <w:r>
        <w:rPr>
          <w:rFonts w:ascii="Arial" w:hAnsi="Arial"/>
          <w:color w:val="263A43"/>
          <w:sz w:val="20"/>
        </w:rPr>
        <w:t xml:space="preserve"> y </w:t>
      </w:r>
      <w:r>
        <w:rPr>
          <w:rFonts w:ascii="Arial" w:hAnsi="Arial"/>
          <w:b/>
          <w:color w:val="397CDD"/>
          <w:sz w:val="20"/>
          <w:shd w:fill="E8F0FB"/>
        </w:rPr>
        <w:t>[FECHA FINAL]</w:t>
      </w:r>
      <w:r>
        <w:rPr>
          <w:rFonts w:ascii="Arial" w:hAnsi="Arial"/>
          <w:color w:val="263A43"/>
          <w:sz w:val="20"/>
        </w:rPr>
        <w:t xml:space="preserve">. Se considera información elaborada o adquirida en el ejercicio de sus funciones y que obra en su poder por </w:t>
      </w:r>
      <w:r>
        <w:rPr>
          <w:rFonts w:ascii="Arial" w:hAnsi="Arial"/>
          <w:b/>
          <w:color w:val="397CDD"/>
          <w:sz w:val="20"/>
          <w:shd w:fill="E8F0FB"/>
        </w:rPr>
        <w:t>[REFERENCIA OBJETIVA, SI SE CONOCE]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Segundo. Se solicitan los siguientes documentos o contenidos existentes, delimitados de forma que puedan identificarse: </w:t>
      </w:r>
      <w:r>
        <w:rPr>
          <w:rFonts w:ascii="Arial" w:hAnsi="Arial"/>
          <w:b/>
          <w:color w:val="397CDD"/>
          <w:sz w:val="20"/>
          <w:shd w:fill="E8F0FB"/>
        </w:rPr>
        <w:t>[DOCUMENTO O CONJUNTO 1, PERÍODO Y DATOS NECESARIOS]</w:t>
      </w:r>
      <w:r>
        <w:rPr>
          <w:rFonts w:ascii="Arial" w:hAnsi="Arial"/>
          <w:color w:val="263A43"/>
          <w:sz w:val="20"/>
        </w:rPr>
        <w:t xml:space="preserve">; </w:t>
      </w:r>
      <w:r>
        <w:rPr>
          <w:rFonts w:ascii="Arial" w:hAnsi="Arial"/>
          <w:b/>
          <w:color w:val="397CDD"/>
          <w:sz w:val="20"/>
          <w:shd w:fill="E8F0FB"/>
        </w:rPr>
        <w:t>[DOCUMENTO O CONJUNTO 2]</w:t>
      </w:r>
      <w:r>
        <w:rPr>
          <w:rFonts w:ascii="Arial" w:hAnsi="Arial"/>
          <w:color w:val="263A43"/>
          <w:sz w:val="20"/>
        </w:rPr>
        <w:t xml:space="preserve">; </w:t>
      </w:r>
      <w:r>
        <w:rPr>
          <w:rFonts w:ascii="Arial" w:hAnsi="Arial"/>
          <w:b/>
          <w:color w:val="397CDD"/>
          <w:sz w:val="20"/>
          <w:shd w:fill="E8F0FB"/>
        </w:rPr>
        <w:t>[DOCUMENTO O CONJUNTO 3, SI PROCEDE]</w:t>
      </w:r>
      <w:r>
        <w:rPr>
          <w:rFonts w:ascii="Arial" w:hAnsi="Arial"/>
          <w:color w:val="263A43"/>
          <w:sz w:val="20"/>
        </w:rPr>
        <w:t xml:space="preserve">. La referencia conocida de expediente, contrato o publicación es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Tercero. No se solicita la creación de un informe jurídico, valoración nueva o documento inexistente. Cuando la información ya esté estructurada en un registro o base de datos, se interesa acceso a los campos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en el formato disponible o extraíble conforme al régimen legal aplicable, sin exigir una reelaboración ajena al derecho de acceso.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Cuarto. La modalidad preferida es </w:t>
      </w:r>
      <w:r>
        <w:rPr>
          <w:rFonts w:ascii="Arial" w:hAnsi="Arial"/>
          <w:b/>
          <w:color w:val="397CDD"/>
          <w:sz w:val="20"/>
          <w:shd w:fill="E8F0FB"/>
        </w:rPr>
        <w:t>[COPIA ELECTRÓNICA / CONSULTA / OTRA]</w:t>
      </w:r>
      <w:r>
        <w:rPr>
          <w:rFonts w:ascii="Arial" w:hAnsi="Arial"/>
          <w:color w:val="263A43"/>
          <w:sz w:val="20"/>
        </w:rPr>
        <w:t xml:space="preserve">, con remisión a </w:t>
      </w:r>
      <w:r>
        <w:rPr>
          <w:rFonts w:ascii="Arial" w:hAnsi="Arial"/>
          <w:b/>
          <w:color w:val="397CDD"/>
          <w:sz w:val="20"/>
          <w:shd w:fill="E8F0FB"/>
        </w:rPr>
        <w:t>[CANAL]</w:t>
      </w:r>
      <w:r>
        <w:rPr>
          <w:rFonts w:ascii="Arial" w:hAnsi="Arial"/>
          <w:color w:val="263A43"/>
          <w:sz w:val="20"/>
        </w:rPr>
        <w:t xml:space="preserve">. Para datos tabulados, se prefiere formato reutilizable </w:t>
      </w:r>
      <w:r>
        <w:rPr>
          <w:rFonts w:ascii="Arial" w:hAnsi="Arial"/>
          <w:b/>
          <w:color w:val="397CDD"/>
          <w:sz w:val="20"/>
          <w:shd w:fill="E8F0FB"/>
        </w:rPr>
        <w:t>[CSV U OTRO DISPONIBLE]</w:t>
      </w:r>
      <w:r>
        <w:rPr>
          <w:rFonts w:ascii="Arial" w:hAnsi="Arial"/>
          <w:color w:val="263A43"/>
          <w:sz w:val="20"/>
        </w:rPr>
        <w:t>; para documentos, copia electrónica legible. Si existe una publicación completa y accesible, podrá indicarse su ubicación precisa, no únicamente la página principal del portal.</w:t>
      </w:r>
    </w:p>
    <w:p>
      <w:pPr>
        <w:jc w:val="both"/>
      </w:pPr>
      <w:r>
        <w:rPr>
          <w:rFonts w:ascii="Arial" w:hAnsi="Arial"/>
          <w:color w:val="263A43"/>
          <w:sz w:val="20"/>
        </w:rPr>
        <w:t>Quinto. Si los documentos incluyen datos personales no necesarios, se solicita disociarlos y facilitar el resto. Si concurre un límite legal sobre una parte, se pide valorar el acceso parcial y motivar su aplicación concreta, sin extender la denegación a contenidos separables no afectados.</w:t>
      </w:r>
    </w:p>
    <w:p>
      <w:pPr>
        <w:pStyle w:val="Heading2"/>
      </w:pPr>
      <w:r>
        <w:t>SOLICITA</w:t>
      </w:r>
    </w:p>
    <w:p>
      <w:pPr>
        <w:jc w:val="both"/>
      </w:pPr>
      <w:r>
        <w:rPr>
          <w:rFonts w:ascii="Arial" w:hAnsi="Arial"/>
          <w:color w:val="263A43"/>
          <w:sz w:val="20"/>
        </w:rPr>
        <w:t>Primero. Que admita y tramite la solicitud conforme a la Ley 19/2013 y a la normativa territorial aplicable, y facilite la información identificada en la modalidad indicada, o explique motivadamente la alternativa disponible.</w:t>
      </w:r>
    </w:p>
    <w:p>
      <w:pPr>
        <w:jc w:val="both"/>
      </w:pPr>
      <w:r>
        <w:rPr>
          <w:rFonts w:ascii="Arial" w:hAnsi="Arial"/>
          <w:color w:val="263A43"/>
          <w:sz w:val="20"/>
        </w:rPr>
        <w:t>Segundo. Que, si el órgano receptor no posee la información y conoce al competente, remita la solicitud conforme al régimen legal y lo comunique a esta parte. Si fuera necesario concretar algún extremo, que identifique la aclaración requerida y sus efectos sobre el plazo.</w:t>
      </w:r>
    </w:p>
    <w:p>
      <w:pPr>
        <w:jc w:val="both"/>
      </w:pPr>
      <w:r>
        <w:rPr>
          <w:rFonts w:ascii="Arial" w:hAnsi="Arial"/>
          <w:color w:val="263A43"/>
          <w:sz w:val="20"/>
        </w:rPr>
        <w:t>Tercero. Que cualquier inadmisión, denegación total o parcial, ampliación de plazo o cambio de modalidad sea motivado y notificado con identificación de la base legal y de la vía de reclamación procedente.</w:t>
      </w:r>
    </w:p>
    <w:p>
      <w:pPr>
        <w:jc w:val="both"/>
      </w:pPr>
      <w:r>
        <w:rPr>
          <w:rFonts w:ascii="Arial" w:hAnsi="Arial"/>
          <w:color w:val="263A43"/>
          <w:sz w:val="20"/>
        </w:rPr>
        <w:t>Cuarto. Que comunique previamente, cuando proceda, el coste legal de expedición de copias o cambio de formato. Se solicita acceso electrónico gratuito en la medida legalmente prevista.</w:t>
      </w:r>
    </w:p>
    <w:p>
      <w:pPr>
        <w:jc w:val="both"/>
      </w:pPr>
      <w:r>
        <w:rPr>
          <w:rFonts w:ascii="Arial" w:hAnsi="Arial"/>
          <w:color w:val="263A43"/>
          <w:sz w:val="20"/>
        </w:rPr>
        <w:t>La presente es una solicitud de información pública existente, no un recurso frente a un acto ni una solicitud de acceso a un expediente en curso como persona interesada.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En </w:t>
      </w:r>
      <w:r>
        <w:rPr>
          <w:rFonts w:ascii="Arial" w:hAnsi="Arial"/>
          <w:b/>
          <w:color w:val="397CDD"/>
          <w:sz w:val="20"/>
          <w:shd w:fill="E8F0FB"/>
        </w:rPr>
        <w:t>[LOCALIDAD]</w:t>
      </w:r>
      <w:r>
        <w:rPr>
          <w:rFonts w:ascii="Arial" w:hAnsi="Arial"/>
          <w:color w:val="263A43"/>
          <w:sz w:val="20"/>
        </w:rPr>
        <w:t xml:space="preserve">, a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. Firma: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Referencias que facilitan la búsqueda: </w:t>
      </w:r>
      <w:r>
        <w:rPr>
          <w:rFonts w:ascii="Arial" w:hAnsi="Arial"/>
          <w:b/>
          <w:color w:val="397CDD"/>
          <w:sz w:val="20"/>
          <w:shd w:fill="E8F0FB"/>
        </w:rPr>
        <w:t>[ENLACES OFICIALES, TÍTULOS O NÚMEROS]</w:t>
      </w:r>
      <w:r>
        <w:rPr>
          <w:rFonts w:ascii="Arial" w:hAnsi="Arial"/>
          <w:color w:val="263A43"/>
          <w:sz w:val="20"/>
        </w:rPr>
        <w:t>.</w:t>
      </w:r>
    </w:p>
    <w:p>
      <w:r>
        <w:br w:type="page"/>
      </w:r>
    </w:p>
    <w:p>
      <w:pPr>
        <w:pStyle w:val="Heading1"/>
        <w:jc w:val="center"/>
      </w:pPr>
      <w:r>
        <w:t>GUÍA DE REVISIÓN · NO ADJUNTAR AL ESCRITO</w:t>
      </w:r>
    </w:p>
    <w:p>
      <w:pPr>
        <w:pStyle w:val="Heading2"/>
      </w:pPr>
      <w:r>
        <w:t>Finalidad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Pedir documentos o contenidos públicos existentes, con alcance definido y alternativas de acceso parcial.</w:t>
      </w:r>
    </w:p>
    <w:p>
      <w:pPr>
        <w:pStyle w:val="Heading2"/>
      </w:pPr>
      <w:r>
        <w:t>Cuándo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Información existente en poder de un sujeto obligado, elaborada o adquirida en el ejercicio de sus funciones, sin régimen especial preferente.</w:t>
      </w:r>
    </w:p>
    <w:p>
      <w:pPr>
        <w:pStyle w:val="Heading2"/>
      </w:pPr>
      <w:r>
        <w:t>Cuándo no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Expediente en curso en el que se tiene condición de interesado; ejercicio de protección de datos; petición de asesoramiento, explicación nueva o elaboración no exigible.</w:t>
      </w:r>
    </w:p>
    <w:p>
      <w:pPr>
        <w:pStyle w:val="Heading2"/>
      </w:pPr>
      <w:r>
        <w:t>Plazos</w:t>
      </w:r>
    </w:p>
    <w:p>
      <w:pPr>
        <w:jc w:val="both"/>
      </w:pPr>
      <w:r>
        <w:rPr>
          <w:rFonts w:ascii="Arial" w:hAnsi="Arial"/>
          <w:color w:val="263A43"/>
          <w:sz w:val="20"/>
        </w:rPr>
        <w:t>Resolución: un mes desde recepción por el órgano competente, ampliable otro mes por volumen o complejidad con notificación previa. Revisar régimen territorial, suspensiones e inadmisión. El silencio general es desestimatorio.</w:t>
      </w:r>
    </w:p>
    <w:p>
      <w:pPr>
        <w:pStyle w:val="Heading2"/>
      </w:pPr>
      <w:r>
        <w:t>Dónde y cómo presentarlo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Portal de transparencia o registro del sujeto obligado; formulario oficial cuando sea exigible y mecanismo de identificación del portal.</w:t>
      </w:r>
    </w:p>
    <w:p>
      <w:pPr>
        <w:pStyle w:val="Heading2"/>
      </w:pPr>
      <w:r>
        <w:t>Intervención y revisión profesional</w:t>
      </w:r>
    </w:p>
    <w:p>
      <w:pPr>
        <w:jc w:val="both"/>
      </w:pPr>
      <w:r>
        <w:rPr>
          <w:rFonts w:ascii="Arial" w:hAnsi="Arial"/>
          <w:color w:val="263A43"/>
          <w:sz w:val="20"/>
        </w:rPr>
        <w:t>No preceptiva para la solicitud. Revisar límites, privacidad y autoridad de reclamación competente ante denegación.</w:t>
      </w:r>
    </w:p>
    <w:p>
      <w:pPr>
        <w:pStyle w:val="Heading2"/>
      </w:pPr>
      <w:r>
        <w:t>Documentación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Identificación; descripción suficientemente precisa; período y formato; referencias de documentos si se conocen; no es necesario aportar una motivación personal.</w:t>
      </w:r>
    </w:p>
    <w:p>
      <w:pPr>
        <w:pStyle w:val="Heading2"/>
      </w:pPr>
      <w:r>
        <w:t>Auditoría de seguridad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Útil y accesible sin justificar un interés especial. Debe distinguirse de acceso a expediente propio, datos personales propios y peticiones de informes nuevos.</w:t>
      </w:r>
    </w:p>
    <w:p>
      <w:pPr>
        <w:pStyle w:val="Heading2"/>
      </w:pPr>
      <w:r>
        <w:t>Advertencias específicas</w:t>
      </w:r>
    </w:p>
    <w:p>
      <w:pPr>
        <w:jc w:val="both"/>
      </w:pPr>
      <w:r>
        <w:rPr>
          <w:rFonts w:ascii="Arial" w:hAnsi="Arial"/>
          <w:color w:val="263A43"/>
          <w:sz w:val="20"/>
        </w:rPr>
        <w:t>Ámbito general de la Ley 39/2015. Comprobar normativa sectorial, autonómica y local, órgano competente, fase y notificación íntegra. Usar el formulario específico cuando sea obligatorio. Las personas obligadas a relacionarse electrónicamente deben emplear el registro electrónico adecuado; conservar justificante y anexos. No es una demanda contencioso-administrativa.</w:t>
      </w:r>
    </w:p>
    <w:p>
      <w:pPr>
        <w:pStyle w:val="Heading2"/>
      </w:pPr>
      <w:r>
        <w:t>Cumplimentación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Sustituya todos los campos entre corchetes por datos comprobados. Repita filas o registros de los anexos cuando sea necesario. Conserve una sola alternativa cuando se indique. Elimine controles internos, instrucciones y guía antes de enviar; revise cifras, plazos, representación, destinatario y firmas. No antedate ni afirme pagos, acuerdos o notificaciones inexistentes.</w:t>
      </w:r>
    </w:p>
    <w:p>
      <w:pPr>
        <w:pStyle w:val="Heading2"/>
      </w:pPr>
      <w:r>
        <w:t>Campos editables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ENTIDAD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NOMBRE Y APELLIDOS O RAZÓN SOCIAL</w:t>
      </w:r>
    </w:p>
    <w:p>
      <w:pPr>
        <w:jc w:val="both"/>
      </w:pPr>
      <w:r>
        <w:rPr>
          <w:rFonts w:ascii="Arial" w:hAnsi="Arial"/>
          <w:color w:val="263A43"/>
          <w:sz w:val="20"/>
        </w:rPr>
        <w:t>-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ACTIVIDAD, CONTRATO, SUBVENCIÓN, ORGANIZACIÓN O MATERIA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ENTIDAD U ÓRGANO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FECHA INICIAL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FECHA FINAL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REFERENCIA OBJETIVA, SI SE CONOCE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DOCUMENTO O CONJUNTO 1, PERÍODO Y DATOS NECESARIOS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DOCUMENTO O CONJUNTO 2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DOCUMENTO O CONJUNTO 3, SI PROCEDE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COPIA ELECTRÓNICA / CONSULTA / OTRA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CANAL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CSV U OTRO DISPONIBLE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LOCALIDAD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FECHA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ENLACES OFICIALES, TÍTULOS O NÚMEROS</w:t>
      </w:r>
    </w:p>
    <w:p>
      <w:pPr>
        <w:pStyle w:val="Heading2"/>
      </w:pPr>
      <w:r>
        <w:t>Fuentes oficiales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Ley 19/2013, de transparencia, acceso a la información pública y buen gobierno — https://www.boe.es/eli/es/l/2013/12/09/19/con: arts. 12 a 24 y disposición adicional primera.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Ley 39/2015, del Procedimiento Administrativo Común — https://www.boe.es/eli/es/l/2015/10/01/39/con: art. 53.1.a, para distinguir acceso al expediente propio.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normativa documental: 13 de septiembre de 2026. Comprueba la normativa, el procedimiento y los datos del caso antes de utilizarlo. Plantilla general: completar, contrastar documentos y eliminar las alternativas no aplicables. No garantiza un resultado ni sustituye actuaciones profesionales o formularios obligatorios.</w:t>
      </w:r>
    </w:p>
    <w:p>
      <w:pPr>
        <w:jc w:val="both"/>
      </w:pPr>
      <w:r>
        <w:rPr>
          <w:rFonts w:ascii="Arial" w:hAnsi="Arial"/>
          <w:color w:val="263A43"/>
          <w:sz w:val="20"/>
        </w:rPr>
        <w:t>El contraste se ha efectuado sobre las fuentes oficiales identificadas, no sobre todos los regímenes territoriales, convenios privados, bases de convocatoria, estatutos o jurisprudencia posible. Las versiones consolidadas facilitan la consulta pero debe comprobarse la publicación oficial y la vigencia temporal del precepto aplicable. No se ha efectuado una auditoría de duplicidades del catálogo actualmente publicado en la web.</w:t>
      </w:r>
    </w:p>
    <w:p>
      <w:pPr>
        <w:pStyle w:val="Heading1"/>
      </w:pPr>
      <w:r>
        <w:t>Fuentes oficiales verificadas</w:t>
      </w:r>
    </w:p>
    <w:p>
      <w:r>
        <w:rPr>
          <w:rFonts w:ascii="Arial" w:hAnsi="Arial"/>
          <w:i/>
          <w:color w:val="68777D"/>
          <w:sz w:val="16"/>
        </w:rPr>
        <w:t>Revisión documental: 13 de septiembre de 2026. Comprueba vigencia, competencia, procedimiento y plazo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