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widowControl/>
        <w:jc w:val="center"/>
      </w:pPr>
      <w:r>
        <w:rPr>
          <w:rFonts w:ascii="Arial" w:hAnsi="Arial"/>
          <w:b/>
          <w:color w:val="397CDD"/>
          <w:sz w:val="16"/>
        </w:rPr>
        <w:t>CIVIL Y HERENCIAS</w:t>
      </w:r>
    </w:p>
    <w:p>
      <w:pPr>
        <w:pStyle w:val="Title"/>
        <w:jc w:val="center"/>
      </w:pPr>
      <w:r>
        <w:rPr>
          <w:rFonts w:ascii="Georgia" w:hAnsi="Georgia"/>
          <w:b/>
          <w:color w:val="102E3C"/>
          <w:sz w:val="42"/>
        </w:rPr>
        <w:t>Solicitud al banco del certificado de posiciones a fecha de fallecimiento</w:t>
      </w:r>
    </w:p>
    <w:p>
      <w:pPr>
        <w:keepNext w:val="0"/>
        <w:widowControl/>
        <w:jc w:val="center"/>
      </w:pPr>
      <w:r>
        <w:rPr>
          <w:rFonts w:ascii="Arial" w:hAnsi="Arial"/>
          <w:color w:val="68777D"/>
          <w:sz w:val="20"/>
        </w:rPr>
        <w:t>Carta para que quien acredita su condición sucesoria obtenga las posiciones bancarias del causante a la fecha de su muerte.</w:t>
      </w:r>
    </w:p>
    <w:p>
      <w:pPr>
        <w:pStyle w:val="Heading1"/>
        <w:spacing w:before="140" w:after="80"/>
        <w:jc w:val="center"/>
      </w:pPr>
      <w:r>
        <w:t>MODELO EDITABLE</w:t>
      </w:r>
    </w:p>
    <w:p>
      <w:pPr>
        <w:keepNext w:val="0"/>
        <w:widowControl/>
        <w:jc w:val="left"/>
      </w:pPr>
      <w:r>
        <w:rPr>
          <w:rFonts w:ascii="Arial" w:hAnsi="Arial"/>
          <w:color w:val="263A43"/>
          <w:sz w:val="20"/>
        </w:rPr>
        <w:t>Complete los campos entre corchetes. Antes de presentar una carta, elimine las indicaciones de uso y las alternativas no aplicables. Las fichas y borradores conservan su carácter preparatorio.</w:t>
      </w:r>
    </w:p>
    <w:p>
      <w:pPr>
        <w:pStyle w:val="Heading2"/>
        <w:spacing w:before="140" w:after="80"/>
      </w:pPr>
      <w:r>
        <w:t>A [ENTIDAD BANCARIA — OFICINA O UNIDAD DE TESTAMENTARÍAS]</w:t>
      </w:r>
    </w:p>
    <w:p>
      <w:pPr>
        <w:keepNext w:val="0"/>
        <w:widowControl/>
        <w:jc w:val="left"/>
      </w:pPr>
      <w:r>
        <w:rPr>
          <w:rFonts w:ascii="Arial" w:hAnsi="Arial"/>
          <w:color w:val="263A43"/>
          <w:sz w:val="20"/>
        </w:rPr>
        <w:t xml:space="preserve">Asunto: certificado de posiciones a fecha de fallecimiento de </w:t>
      </w:r>
      <w:r>
        <w:rPr>
          <w:rFonts w:ascii="Arial" w:hAnsi="Arial"/>
          <w:b/>
          <w:color w:val="397CDD"/>
          <w:sz w:val="20"/>
          <w:shd w:fill="E8F0FB"/>
        </w:rPr>
        <w:t>[NOMBRE DEL CAUSANTE]</w:t>
      </w:r>
      <w:r>
        <w:rPr>
          <w:rFonts w:ascii="Arial" w:hAnsi="Arial"/>
          <w:color w:val="263A43"/>
          <w:sz w:val="20"/>
        </w:rPr>
        <w:t>.</w:t>
      </w:r>
    </w:p>
    <w:p>
      <w:pPr>
        <w:keepNext w:val="0"/>
        <w:widowControl/>
        <w:jc w:val="left"/>
      </w:pPr>
      <w:r>
        <w:rPr>
          <w:rFonts w:ascii="Arial" w:hAnsi="Arial"/>
          <w:color w:val="263A43"/>
          <w:sz w:val="20"/>
        </w:rPr>
        <w:t xml:space="preserve">D./D.ª </w:t>
      </w:r>
      <w:r>
        <w:rPr>
          <w:rFonts w:ascii="Arial" w:hAnsi="Arial"/>
          <w:b/>
          <w:color w:val="397CDD"/>
          <w:sz w:val="20"/>
          <w:shd w:fill="E8F0FB"/>
        </w:rPr>
        <w:t>[NOMBRE Y APELLIDOS]</w:t>
      </w:r>
      <w:r>
        <w:rPr>
          <w:rFonts w:ascii="Arial" w:hAnsi="Arial"/>
          <w:color w:val="263A43"/>
          <w:sz w:val="20"/>
        </w:rPr>
        <w:t xml:space="preserve">, con </w:t>
      </w:r>
      <w:r>
        <w:rPr>
          <w:rFonts w:ascii="Arial" w:hAnsi="Arial"/>
          <w:b/>
          <w:color w:val="397CDD"/>
          <w:sz w:val="20"/>
          <w:shd w:fill="E8F0FB"/>
        </w:rPr>
        <w:t>[DNI/NIE/PASAPORTE]</w:t>
      </w:r>
      <w:r>
        <w:rPr>
          <w:rFonts w:ascii="Arial" w:hAnsi="Arial"/>
          <w:color w:val="263A43"/>
          <w:sz w:val="20"/>
        </w:rPr>
        <w:t xml:space="preserve">, dirección de contacto </w:t>
      </w:r>
      <w:r>
        <w:rPr>
          <w:rFonts w:ascii="Arial" w:hAnsi="Arial"/>
          <w:b/>
          <w:color w:val="397CDD"/>
          <w:sz w:val="20"/>
          <w:shd w:fill="E8F0FB"/>
        </w:rPr>
        <w:t>[DOMICILIO]</w:t>
      </w:r>
      <w:r>
        <w:rPr>
          <w:rFonts w:ascii="Arial" w:hAnsi="Arial"/>
          <w:color w:val="263A43"/>
          <w:sz w:val="20"/>
        </w:rPr>
        <w:t xml:space="preserve"> y medio seguro de respuesta </w:t>
      </w:r>
      <w:r>
        <w:rPr>
          <w:rFonts w:ascii="Arial" w:hAnsi="Arial"/>
          <w:b/>
          <w:color w:val="397CDD"/>
          <w:sz w:val="20"/>
          <w:shd w:fill="E8F0FB"/>
        </w:rPr>
        <w:t>[MEDIO]</w:t>
      </w:r>
      <w:r>
        <w:rPr>
          <w:rFonts w:ascii="Arial" w:hAnsi="Arial"/>
          <w:color w:val="263A43"/>
          <w:sz w:val="20"/>
        </w:rPr>
        <w:t xml:space="preserve">, actuando </w:t>
      </w:r>
      <w:r>
        <w:rPr>
          <w:rFonts w:ascii="Arial" w:hAnsi="Arial"/>
          <w:b/>
          <w:color w:val="397CDD"/>
          <w:sz w:val="20"/>
          <w:shd w:fill="E8F0FB"/>
        </w:rPr>
        <w:t>[EN NOMBRE PROPIO / CON REPRESENTACIÓN ACREDITADA]</w:t>
      </w:r>
      <w:r>
        <w:rPr>
          <w:rFonts w:ascii="Arial" w:hAnsi="Arial"/>
          <w:color w:val="263A43"/>
          <w:sz w:val="20"/>
        </w:rPr>
        <w:t>, respetuosamente,</w:t>
      </w:r>
    </w:p>
    <w:p>
      <w:pPr>
        <w:pStyle w:val="Heading2"/>
        <w:spacing w:before="140" w:after="80"/>
      </w:pPr>
      <w:r>
        <w:t>EXPONE</w:t>
      </w:r>
    </w:p>
    <w:p>
      <w:pPr>
        <w:keepNext w:val="0"/>
        <w:widowControl/>
        <w:jc w:val="left"/>
      </w:pPr>
      <w:r>
        <w:rPr>
          <w:rFonts w:ascii="Arial" w:hAnsi="Arial"/>
          <w:color w:val="263A43"/>
          <w:sz w:val="20"/>
        </w:rPr>
        <w:t xml:space="preserve">Primero. D./D.ª </w:t>
      </w:r>
      <w:r>
        <w:rPr>
          <w:rFonts w:ascii="Arial" w:hAnsi="Arial"/>
          <w:b/>
          <w:color w:val="397CDD"/>
          <w:sz w:val="20"/>
          <w:shd w:fill="E8F0FB"/>
        </w:rPr>
        <w:t>[NOMBRE Y IDENTIFICACIÓN DEL CAUSANTE]</w:t>
      </w:r>
      <w:r>
        <w:rPr>
          <w:rFonts w:ascii="Arial" w:hAnsi="Arial"/>
          <w:color w:val="263A43"/>
          <w:sz w:val="20"/>
        </w:rPr>
        <w:t xml:space="preserve"> falleció el </w:t>
      </w:r>
      <w:r>
        <w:rPr>
          <w:rFonts w:ascii="Arial" w:hAnsi="Arial"/>
          <w:b/>
          <w:color w:val="397CDD"/>
          <w:sz w:val="20"/>
          <w:shd w:fill="E8F0FB"/>
        </w:rPr>
        <w:t>[FECHA]</w:t>
      </w:r>
      <w:r>
        <w:rPr>
          <w:rFonts w:ascii="Arial" w:hAnsi="Arial"/>
          <w:color w:val="263A43"/>
          <w:sz w:val="20"/>
        </w:rPr>
        <w:t>, según el certificado adjunto.</w:t>
      </w:r>
    </w:p>
    <w:p>
      <w:pPr>
        <w:keepNext w:val="0"/>
        <w:widowControl/>
        <w:jc w:val="left"/>
      </w:pPr>
      <w:r>
        <w:rPr>
          <w:rFonts w:ascii="Arial" w:hAnsi="Arial"/>
          <w:color w:val="263A43"/>
          <w:sz w:val="20"/>
        </w:rPr>
        <w:t xml:space="preserve">Segundo. Acredito mi condición sucesoria mediante </w:t>
      </w:r>
      <w:r>
        <w:rPr>
          <w:rFonts w:ascii="Arial" w:hAnsi="Arial"/>
          <w:b/>
          <w:color w:val="397CDD"/>
          <w:sz w:val="20"/>
          <w:shd w:fill="E8F0FB"/>
        </w:rPr>
        <w:t>[TESTAMENTO O DECLARACIÓN DE HEREDEROS, NOTARIO, FECHA Y PROTOCOLO/REFERENCIA]</w:t>
      </w:r>
      <w:r>
        <w:rPr>
          <w:rFonts w:ascii="Arial" w:hAnsi="Arial"/>
          <w:color w:val="263A43"/>
          <w:sz w:val="20"/>
        </w:rPr>
        <w:t xml:space="preserve">, junto con </w:t>
      </w:r>
      <w:r>
        <w:rPr>
          <w:rFonts w:ascii="Arial" w:hAnsi="Arial"/>
          <w:b/>
          <w:color w:val="397CDD"/>
          <w:sz w:val="20"/>
          <w:shd w:fill="E8F0FB"/>
        </w:rPr>
        <w:t>[RELACIÓN DE DOCUMENTOS]</w:t>
      </w:r>
      <w:r>
        <w:rPr>
          <w:rFonts w:ascii="Arial" w:hAnsi="Arial"/>
          <w:color w:val="263A43"/>
          <w:sz w:val="20"/>
        </w:rPr>
        <w:t>. Esta solicitud de información no contiene una declaración de aceptación ni instrucciones de disposición patrimonial.</w:t>
      </w:r>
    </w:p>
    <w:p>
      <w:pPr>
        <w:keepNext w:val="0"/>
        <w:widowControl/>
        <w:jc w:val="left"/>
      </w:pPr>
      <w:r>
        <w:rPr>
          <w:rFonts w:ascii="Arial" w:hAnsi="Arial"/>
          <w:color w:val="263A43"/>
          <w:sz w:val="20"/>
        </w:rPr>
        <w:t>Tercero. Necesito conocer las posiciones que la persona fallecida mantenía en la entidad a la fecha indicada, para examinar el patrimonio y atender los trámites sucesorios y tributarios correspondientes.</w:t>
      </w:r>
    </w:p>
    <w:p>
      <w:pPr>
        <w:pStyle w:val="Heading2"/>
        <w:spacing w:before="140" w:after="80"/>
      </w:pPr>
      <w:r>
        <w:t>SOLICITA</w:t>
      </w:r>
    </w:p>
    <w:p>
      <w:pPr>
        <w:keepNext w:val="0"/>
        <w:widowControl/>
      </w:pPr>
      <w:r>
        <w:rPr>
          <w:rFonts w:ascii="Arial" w:hAnsi="Arial"/>
          <w:color w:val="263A43"/>
          <w:sz w:val="20"/>
        </w:rPr>
        <w:t xml:space="preserve">1. Que se expida certificado de las posiciones de </w:t>
      </w:r>
      <w:r>
        <w:rPr>
          <w:rFonts w:ascii="Arial" w:hAnsi="Arial"/>
          <w:b/>
          <w:color w:val="397CDD"/>
          <w:sz w:val="20"/>
          <w:shd w:fill="E8F0FB"/>
        </w:rPr>
        <w:t>[CAUSANTE]</w:t>
      </w:r>
      <w:r>
        <w:rPr>
          <w:rFonts w:ascii="Arial" w:hAnsi="Arial"/>
          <w:color w:val="263A43"/>
          <w:sz w:val="20"/>
        </w:rPr>
        <w:t xml:space="preserve"> a fecha de </w:t>
      </w:r>
      <w:r>
        <w:rPr>
          <w:rFonts w:ascii="Arial" w:hAnsi="Arial"/>
          <w:b/>
          <w:color w:val="397CDD"/>
          <w:sz w:val="20"/>
          <w:shd w:fill="E8F0FB"/>
        </w:rPr>
        <w:t>[FECHA DE FALLECIMIENTO]</w:t>
      </w:r>
      <w:r>
        <w:rPr>
          <w:rFonts w:ascii="Arial" w:hAnsi="Arial"/>
          <w:color w:val="263A43"/>
          <w:sz w:val="20"/>
        </w:rPr>
        <w:t>, con identificación de cuentas, depósitos, fondos, valores y demás productos; saldos o títulos; titularidades y régimen de disposición; así como préstamos, créditos, avales, garantías y otras posiciones deudoras que consten en la entidad.</w:t>
      </w:r>
    </w:p>
    <w:p>
      <w:pPr>
        <w:keepNext w:val="0"/>
        <w:widowControl/>
      </w:pPr>
      <w:r>
        <w:rPr>
          <w:rFonts w:ascii="Arial" w:hAnsi="Arial"/>
          <w:color w:val="263A43"/>
          <w:sz w:val="20"/>
        </w:rPr>
        <w:t>2. Que el documento distinga el saldo del producto de la cuota de propiedad material que, en su caso, resulte acreditada, sin atribuir automáticamente al causante la totalidad o una fracción del saldo solo por la cotitularidad.</w:t>
      </w:r>
    </w:p>
    <w:p>
      <w:pPr>
        <w:keepNext w:val="0"/>
        <w:widowControl/>
      </w:pPr>
      <w:r>
        <w:rPr>
          <w:rFonts w:ascii="Arial" w:hAnsi="Arial"/>
          <w:color w:val="263A43"/>
          <w:sz w:val="20"/>
        </w:rPr>
        <w:t>3. Que se facilite el certificado sin vincularlo a la contratación de un servicio de testamentaría, conforme al criterio de buenas prácticas del Banco de España. No se autoriza mediante esta carta ningún servicio de pago ni cargo asociado.</w:t>
      </w:r>
    </w:p>
    <w:p>
      <w:pPr>
        <w:keepNext w:val="0"/>
        <w:widowControl/>
      </w:pPr>
      <w:r>
        <w:rPr>
          <w:rFonts w:ascii="Arial" w:hAnsi="Arial"/>
          <w:color w:val="263A43"/>
          <w:sz w:val="20"/>
        </w:rPr>
        <w:t>4. Que, si falta documentación para acreditar mi derecho a la información, se indique por escrito qué documento concreto falta y el motivo, así como el canal seguro para aportarlo.</w:t>
      </w:r>
    </w:p>
    <w:p>
      <w:pPr>
        <w:keepNext w:val="0"/>
        <w:widowControl/>
      </w:pPr>
      <w:r>
        <w:rPr>
          <w:rFonts w:ascii="Arial" w:hAnsi="Arial"/>
          <w:color w:val="263A43"/>
          <w:sz w:val="20"/>
        </w:rPr>
        <w:t xml:space="preserve">5. Que se confirme la recepción y se comunique una previsión de entrega por </w:t>
      </w:r>
      <w:r>
        <w:rPr>
          <w:rFonts w:ascii="Arial" w:hAnsi="Arial"/>
          <w:b/>
          <w:color w:val="397CDD"/>
          <w:sz w:val="20"/>
          <w:shd w:fill="E8F0FB"/>
        </w:rPr>
        <w:t>[CANAL SEGURO]</w:t>
      </w:r>
      <w:r>
        <w:rPr>
          <w:rFonts w:ascii="Arial" w:hAnsi="Arial"/>
          <w:color w:val="263A43"/>
          <w:sz w:val="20"/>
        </w:rPr>
        <w:t>.</w:t>
      </w:r>
    </w:p>
    <w:p>
      <w:pPr>
        <w:keepNext w:val="0"/>
        <w:widowControl/>
        <w:jc w:val="left"/>
      </w:pPr>
      <w:r>
        <w:rPr>
          <w:rFonts w:ascii="Arial" w:hAnsi="Arial"/>
          <w:color w:val="263A43"/>
          <w:sz w:val="20"/>
        </w:rPr>
        <w:t xml:space="preserve">Productos conocidos, solo a efectos de localización: </w:t>
      </w:r>
      <w:r>
        <w:rPr>
          <w:rFonts w:ascii="Arial" w:hAnsi="Arial"/>
          <w:b/>
          <w:color w:val="397CDD"/>
          <w:sz w:val="20"/>
          <w:shd w:fill="E8F0FB"/>
        </w:rPr>
        <w:t>[IBAN/CONTRATOS/OFICINAS, O «SE DESCONOCEN»]</w:t>
      </w:r>
      <w:r>
        <w:rPr>
          <w:rFonts w:ascii="Arial" w:hAnsi="Arial"/>
          <w:color w:val="263A43"/>
          <w:sz w:val="20"/>
        </w:rPr>
        <w:t>.</w:t>
      </w:r>
    </w:p>
    <w:p>
      <w:pPr>
        <w:keepNext w:val="0"/>
        <w:widowControl/>
        <w:jc w:val="left"/>
      </w:pPr>
      <w:r>
        <w:rPr>
          <w:rFonts w:ascii="Arial" w:hAnsi="Arial"/>
          <w:color w:val="263A43"/>
          <w:sz w:val="20"/>
        </w:rPr>
        <w:t xml:space="preserve">Anexos: </w:t>
      </w:r>
      <w:r>
        <w:rPr>
          <w:rFonts w:ascii="Arial" w:hAnsi="Arial"/>
          <w:b/>
          <w:color w:val="397CDD"/>
          <w:sz w:val="20"/>
          <w:shd w:fill="E8F0FB"/>
        </w:rPr>
        <w:t>[IDENTIFICACIÓN, DEFUNCIÓN, ÚLTIMAS VOLUNTADES, TÍTULO SUCESORIO Y REPRESENTACIÓN, SEGÚN CORRESPONDA]</w:t>
      </w:r>
      <w:r>
        <w:rPr>
          <w:rFonts w:ascii="Arial" w:hAnsi="Arial"/>
          <w:color w:val="263A43"/>
          <w:sz w:val="20"/>
        </w:rPr>
        <w:t>.</w:t>
      </w:r>
    </w:p>
    <w:p>
      <w:pPr>
        <w:keepNext/>
        <w:widowControl/>
        <w:jc w:val="left"/>
      </w:pPr>
      <w:r>
        <w:rPr>
          <w:rFonts w:ascii="Arial" w:hAnsi="Arial"/>
          <w:color w:val="263A43"/>
          <w:sz w:val="20"/>
        </w:rPr>
        <w:t xml:space="preserve">En </w:t>
      </w:r>
      <w:r>
        <w:rPr>
          <w:rFonts w:ascii="Arial" w:hAnsi="Arial"/>
          <w:b/>
          <w:color w:val="397CDD"/>
          <w:sz w:val="20"/>
          <w:shd w:fill="E8F0FB"/>
        </w:rPr>
        <w:t>[LOCALIDAD]</w:t>
      </w:r>
      <w:r>
        <w:rPr>
          <w:rFonts w:ascii="Arial" w:hAnsi="Arial"/>
          <w:color w:val="263A43"/>
          <w:sz w:val="20"/>
        </w:rPr>
        <w:t xml:space="preserve">, a </w:t>
      </w:r>
      <w:r>
        <w:rPr>
          <w:rFonts w:ascii="Arial" w:hAnsi="Arial"/>
          <w:b/>
          <w:color w:val="397CDD"/>
          <w:sz w:val="20"/>
          <w:shd w:fill="E8F0FB"/>
        </w:rPr>
        <w:t>[FECHA]</w:t>
      </w:r>
      <w:r>
        <w:rPr>
          <w:rFonts w:ascii="Arial" w:hAnsi="Arial"/>
          <w:color w:val="263A43"/>
          <w:sz w:val="20"/>
        </w:rPr>
        <w:t>.</w:t>
      </w:r>
    </w:p>
    <w:p>
      <w:pPr>
        <w:keepNext w:val="0"/>
        <w:widowControl/>
        <w:jc w:val="left"/>
      </w:pPr>
      <w:r>
        <w:rPr>
          <w:rFonts w:ascii="Arial" w:hAnsi="Arial"/>
          <w:color w:val="263A43"/>
          <w:sz w:val="20"/>
        </w:rPr>
        <w:t xml:space="preserve">Firma: </w:t>
      </w:r>
      <w:r>
        <w:rPr>
          <w:rFonts w:ascii="Arial" w:hAnsi="Arial"/>
          <w:b/>
          <w:color w:val="397CDD"/>
          <w:sz w:val="20"/>
          <w:shd w:fill="E8F0FB"/>
        </w:rPr>
        <w:t>[NOMBRE Y APELLIDOS]</w:t>
      </w:r>
      <w:r>
        <w:rPr>
          <w:rFonts w:ascii="Arial" w:hAnsi="Arial"/>
          <w:color w:val="263A43"/>
          <w:sz w:val="20"/>
        </w:rPr>
        <w:t>.</w:t>
      </w:r>
    </w:p>
    <w:p>
      <w:pPr>
        <w:keepNext w:val="0"/>
        <w:widowControl/>
      </w:pPr>
      <w:r>
        <w:br w:type="page"/>
      </w:r>
    </w:p>
    <w:p>
      <w:pPr>
        <w:pStyle w:val="Heading1"/>
        <w:pageBreakBefore/>
        <w:spacing w:before="0" w:after="80"/>
        <w:jc w:val="center"/>
      </w:pPr>
      <w:r>
        <w:rPr>
          <w:sz w:val="34"/>
        </w:rPr>
        <w:t>GUÍA DE REVISIÓN · NO ADJUNTAR AL ESCRITO</w:t>
      </w:r>
    </w:p>
    <w:tbl>
      <w:tblPr>
        <w:tblW w:type="auto" w:w="0"/>
        <w:tblLayout w:type="autofit"/>
        <w:tblLook w:firstColumn="1" w:firstRow="1" w:lastColumn="0" w:lastRow="0" w:noHBand="0" w:noVBand="1" w:val="04A0"/>
      </w:tblPr>
      <w:tblGrid>
        <w:gridCol w:w="9547"/>
      </w:tblGrid>
      <w:tr>
        <w:tc>
          <w:tcPr>
            <w:tcW w:type="dxa" w:w="9547"/>
            <w:shd w:fill="F4EFE7"/>
          </w:tcPr>
          <w:p>
            <w:r>
              <w:t>LÍMITES Y PRECAUCIONES DE USO</w:t>
            </w:r>
          </w:p>
          <w:p>
            <w:r>
              <w:rPr>
                <w:rFonts w:ascii="Arial" w:hAnsi="Arial"/>
                <w:color w:val="263A43"/>
                <w:sz w:val="20"/>
              </w:rPr>
              <w:t>La información puede pedirse para decidir sobre la herencia. No firme una aceptación o un encargo de gestión de pago solo para conseguir el certificado. La gratuidad se fundamenta en el criterio de buenas prácticas del Banco de España.</w:t>
            </w:r>
          </w:p>
          <w:p>
            <w:r>
              <w:rPr>
                <w:rFonts w:ascii="Arial" w:hAnsi="Arial"/>
                <w:color w:val="263A43"/>
                <w:sz w:val="20"/>
              </w:rPr>
              <w:t>Completa solo datos comprobados, elimina alternativas incompatibles y conserva una copia y el justificante de presentación.</w:t>
            </w:r>
          </w:p>
        </w:tc>
      </w:tr>
    </w:tbl>
    <w:p>
      <w:pPr>
        <w:keepNext w:val="0"/>
        <w:widowControl/>
        <w:jc w:val="left"/>
      </w:pPr>
      <w:r>
        <w:rPr>
          <w:rFonts w:ascii="Arial" w:hAnsi="Arial"/>
          <w:color w:val="263A43"/>
          <w:sz w:val="20"/>
        </w:rPr>
        <w:t>Carta para que quien acredita su condición sucesoria obtenga las posiciones bancarias del causante a la fecha de su muerte.</w:t>
      </w:r>
    </w:p>
    <w:p>
      <w:pPr>
        <w:pStyle w:val="Heading1"/>
        <w:spacing w:before="140" w:after="80"/>
      </w:pPr>
      <w:r>
        <w:t>Finalidad</w:t>
      </w:r>
    </w:p>
    <w:p>
      <w:pPr>
        <w:keepNext w:val="0"/>
        <w:widowControl/>
        <w:jc w:val="left"/>
      </w:pPr>
      <w:r>
        <w:rPr>
          <w:rFonts w:ascii="Arial" w:hAnsi="Arial"/>
          <w:color w:val="263A43"/>
          <w:sz w:val="20"/>
        </w:rPr>
        <w:t>Solicitar información sobre productos, saldos, inversiones, préstamos y garantías para conocer el patrimonio y preparar los trámites sucesorios.</w:t>
      </w:r>
    </w:p>
    <w:p>
      <w:pPr>
        <w:pStyle w:val="Heading1"/>
        <w:spacing w:before="140" w:after="80"/>
      </w:pPr>
      <w:r>
        <w:t>Para qué no sirve</w:t>
      </w:r>
    </w:p>
    <w:p>
      <w:pPr>
        <w:keepNext w:val="0"/>
        <w:widowControl/>
        <w:jc w:val="left"/>
      </w:pPr>
      <w:r>
        <w:rPr>
          <w:rFonts w:ascii="Arial" w:hAnsi="Arial"/>
          <w:color w:val="263A43"/>
          <w:sz w:val="20"/>
        </w:rPr>
        <w:t>No autoriza retirar dinero, disponer de valores, cerrar cuentas, aceptar la herencia ni contratar un servicio remunerado de testamentaría.</w:t>
      </w:r>
    </w:p>
    <w:p>
      <w:pPr>
        <w:pStyle w:val="Heading1"/>
        <w:spacing w:before="140" w:after="80"/>
      </w:pPr>
      <w:r>
        <w:t>Instrucciones de uso</w:t>
      </w:r>
    </w:p>
    <w:p>
      <w:pPr>
        <w:keepNext w:val="0"/>
        <w:widowControl/>
      </w:pPr>
      <w:r>
        <w:rPr>
          <w:rFonts w:ascii="Arial" w:hAnsi="Arial"/>
          <w:color w:val="263A43"/>
          <w:sz w:val="20"/>
        </w:rPr>
        <w:t xml:space="preserve">1. Identifique al causante y a la entidad. Acredite su condición mediante defunción, últimas voluntades y título sucesorio suficiente. Si todavía no puede acreditarla, comunique el fallecimiento y pida que el banco indique qué documentación necesita; esa comunicación no sustituye la acreditación.</w:t>
      </w:r>
    </w:p>
    <w:p>
      <w:pPr>
        <w:keepNext w:val="0"/>
        <w:widowControl/>
      </w:pPr>
      <w:r>
        <w:rPr>
          <w:rFonts w:ascii="Arial" w:hAnsi="Arial"/>
          <w:color w:val="263A43"/>
          <w:sz w:val="20"/>
        </w:rPr>
        <w:t>2. Pida el certificado a la fecha exacta del fallecimiento, incluyendo posiciones activas y pasivas. La información posterior necesaria se solicita de forma separada y justificada.</w:t>
      </w:r>
    </w:p>
    <w:p>
      <w:pPr>
        <w:keepNext w:val="0"/>
        <w:widowControl/>
      </w:pPr>
      <w:r>
        <w:rPr>
          <w:rFonts w:ascii="Arial" w:hAnsi="Arial"/>
          <w:color w:val="263A43"/>
          <w:sz w:val="20"/>
        </w:rPr>
        <w:t>3. Presente en oficina o por el canal seguro que admita la entidad y conserve justificante. No remita documentos de identidad completos por canales inseguros.</w:t>
      </w:r>
    </w:p>
    <w:p>
      <w:pPr>
        <w:keepNext w:val="0"/>
        <w:widowControl/>
      </w:pPr>
      <w:r>
        <w:rPr>
          <w:rFonts w:ascii="Arial" w:hAnsi="Arial"/>
          <w:color w:val="263A43"/>
          <w:sz w:val="20"/>
        </w:rPr>
        <w:t>4. Cada heredero acreditado puede solicitar su copia; no se exige, por ese solo motivo, la firma conjunta de todos. Si se deniega o vincula a un servicio de pago, pida explicación escrita y valore reclamar ante atención al cliente.</w:t>
      </w:r>
    </w:p>
    <w:p>
      <w:pPr>
        <w:pStyle w:val="Heading1"/>
        <w:spacing w:before="140" w:after="80"/>
      </w:pPr>
      <w:r>
        <w:t>Documentos que debe reunir</w:t>
      </w:r>
    </w:p>
    <w:p>
      <w:pPr>
        <w:keepNext w:val="0"/>
        <w:widowControl/>
      </w:pPr>
      <w:r>
        <w:rPr>
          <w:rFonts w:ascii="Arial" w:hAnsi="Arial"/>
          <w:color w:val="263A43"/>
          <w:sz w:val="20"/>
        </w:rPr>
        <w:t>1. Identificación del solicitante y representación, si procede.</w:t>
      </w:r>
    </w:p>
    <w:p>
      <w:pPr>
        <w:keepNext w:val="0"/>
        <w:widowControl/>
      </w:pPr>
      <w:r>
        <w:rPr>
          <w:rFonts w:ascii="Arial" w:hAnsi="Arial"/>
          <w:color w:val="263A43"/>
          <w:sz w:val="20"/>
        </w:rPr>
        <w:t>2. Certificado de defunción y certificado de últimas voluntades.</w:t>
      </w:r>
    </w:p>
    <w:p>
      <w:pPr>
        <w:keepNext w:val="0"/>
        <w:widowControl/>
      </w:pPr>
      <w:r>
        <w:rPr>
          <w:rFonts w:ascii="Arial" w:hAnsi="Arial"/>
          <w:color w:val="263A43"/>
          <w:sz w:val="20"/>
        </w:rPr>
        <w:t>3. Copia autorizada del testamento o declaración de herederos suficiente, según el caso.</w:t>
      </w:r>
    </w:p>
    <w:p>
      <w:pPr>
        <w:keepNext w:val="0"/>
        <w:widowControl/>
      </w:pPr>
      <w:r>
        <w:rPr>
          <w:rFonts w:ascii="Arial" w:hAnsi="Arial"/>
          <w:color w:val="263A43"/>
          <w:sz w:val="20"/>
        </w:rPr>
        <w:t>4. Datos de oficina y productos conocidos, sin necesidad de conocerlos todos.</w:t>
      </w:r>
    </w:p>
    <w:p>
      <w:pPr>
        <w:pStyle w:val="Heading1"/>
        <w:spacing w:before="140" w:after="80"/>
      </w:pPr>
      <w:r>
        <w:rPr/>
        <w:t xml:space="preserve">Ejemplos ficticios para preparar la solicitud</w:t>
      </w:r>
    </w:p>
    <w:p>
      <w:pPr>
        <w:keepNext w:val="0"/>
        <w:widowControl/>
        <w:jc w:val="left"/>
      </w:pPr>
      <w:r>
        <w:rPr>
          <w:rFonts w:ascii="Arial" w:hAnsi="Arial"/>
          <w:color w:val="263A43"/>
          <w:sz w:val="20"/>
        </w:rPr>
        <w:t xml:space="preserve">Los siguientes supuestos son ficticios. Sirven para completar la solicitud con tus documentos; no debes enviar esta guía ni copiar datos que desconozcas.</w:t>
      </w:r>
    </w:p>
    <w:p>
      <w:pPr>
        <w:keepNext w:val="0"/>
        <w:widowControl/>
        <w:jc w:val="left"/>
      </w:pPr>
      <w:r>
        <w:rPr>
          <w:rFonts w:ascii="Arial" w:hAnsi="Arial"/>
          <w:color w:val="263A43"/>
          <w:sz w:val="20"/>
        </w:rPr>
        <w:t xml:space="preserve">Si no conoce los números de cuenta. Identifique al causante y al banco; en «productos conocidos» puede indicar «se desconocen». Pida las posiciones activas y pasivas que consten en esa entidad a la fecha del fallecimiento, sin inventar un IBAN.</w:t>
      </w:r>
    </w:p>
    <w:p>
      <w:pPr>
        <w:keepNext w:val="0"/>
        <w:widowControl/>
        <w:jc w:val="left"/>
      </w:pPr>
      <w:r>
        <w:rPr>
          <w:rFonts w:ascii="Arial" w:hAnsi="Arial"/>
          <w:color w:val="263A43"/>
          <w:sz w:val="20"/>
        </w:rPr>
        <w:t xml:space="preserve">Si el banco ya informó a otro heredero. Acredite su propia condición sucesoria y solicite su copia. Conforme al criterio del Banco de España, el hecho de que otro heredero ya tenga la información no impide su petición individual. Solicitar información no es ordenar una retirada de fondos.</w:t>
      </w:r>
    </w:p>
    <w:p>
      <w:pPr>
        <w:pStyle w:val="Heading1"/>
        <w:spacing w:before="140" w:after="80"/>
        <w:keepNext w:val="1"/>
      </w:pPr>
      <w:r>
        <w:t>Errores que debe evitar</w:t>
      </w:r>
    </w:p>
    <w:p>
      <w:pPr>
        <w:keepNext w:val="1"/>
        <w:widowControl/>
        <w:keepLines w:val="1"/>
      </w:pPr>
      <w:r>
        <w:rPr>
          <w:rFonts w:ascii="Arial" w:hAnsi="Arial"/>
          <w:color w:val="263A43"/>
          <w:sz w:val="20"/>
        </w:rPr>
        <w:t>1. Pedir certificado de saldo actual en lugar del saldo a fecha de fallecimiento.</w:t>
      </w:r>
    </w:p>
    <w:p>
      <w:pPr>
        <w:keepNext w:val="1"/>
        <w:widowControl/>
        <w:keepLines w:val="1"/>
      </w:pPr>
      <w:r>
        <w:rPr>
          <w:rFonts w:ascii="Arial" w:hAnsi="Arial"/>
          <w:color w:val="263A43"/>
          <w:sz w:val="20"/>
        </w:rPr>
        <w:t>2. Confundir condición de autorizado con heredero o propietario del dinero.</w:t>
      </w:r>
    </w:p>
    <w:p>
      <w:pPr>
        <w:keepNext w:val="1"/>
        <w:widowControl/>
        <w:keepLines w:val="1"/>
      </w:pPr>
      <w:r>
        <w:rPr>
          <w:rFonts w:ascii="Arial" w:hAnsi="Arial"/>
          <w:color w:val="263A43"/>
          <w:sz w:val="20"/>
        </w:rPr>
        <w:t>3. Atribuir automáticamente la mitad de una cuenta conjunta a cada titular.</w:t>
      </w:r>
    </w:p>
    <w:p>
      <w:pPr>
        <w:keepNext w:val="0"/>
        <w:widowControl/>
        <w:keepLines w:val="1"/>
      </w:pPr>
      <w:r>
        <w:rPr>
          <w:rFonts w:ascii="Arial" w:hAnsi="Arial"/>
          <w:color w:val="263A43"/>
          <w:sz w:val="20"/>
        </w:rPr>
        <w:t>4. Firmar formularios bancarios de disposición o adjudicación sin revisar su contenido.</w:t>
      </w:r>
    </w:p>
    <w:p>
      <w:pPr>
        <w:pStyle w:val="Heading1"/>
        <w:spacing w:before="140" w:after="80"/>
      </w:pPr>
      <w:r>
        <w:t>Cuándo acudir a un profesional</w:t>
      </w:r>
    </w:p>
    <w:p>
      <w:pPr>
        <w:keepNext w:val="0"/>
        <w:widowControl/>
        <w:jc w:val="left"/>
      </w:pPr>
      <w:r>
        <w:rPr>
          <w:rFonts w:ascii="Arial" w:hAnsi="Arial"/>
          <w:color w:val="263A43"/>
          <w:sz w:val="20"/>
        </w:rPr>
        <w:t>Abogado si hay negativa persistente, dudas sobre legitimación, conflictos sobre propiedad del saldo o movimientos sospechosos. Notario si falta el título sucesorio o para actuaciones que lo requieran. No hacen falta abogado ni procurador para esta petición bancaria ordinaria.</w:t>
      </w:r>
    </w:p>
    <w:p>
      <w:pPr>
        <w:pStyle w:val="Heading1"/>
        <w:spacing w:before="140" w:after="80"/>
      </w:pPr>
      <w:r>
        <w:t>Plazos y presentación</w:t>
      </w:r>
    </w:p>
    <w:p>
      <w:pPr>
        <w:keepNext w:val="0"/>
        <w:widowControl/>
        <w:jc w:val="left"/>
      </w:pPr>
      <w:r>
        <w:rPr>
          <w:rFonts w:ascii="Arial" w:hAnsi="Arial"/>
          <w:color w:val="263A43"/>
          <w:sz w:val="20"/>
        </w:rPr>
        <w:t>No se inventa un plazo legal uniforme de entrega del certificado. Pida una previsión de tramitación y haga seguimiento. En el régimen general del Reglamento del ISD, el plazo sucesorio es de seis meses desde el fallecimiento y la prórroga se solicita dentro de los cinco primeros meses. Compruebe Administración competente, normativa territorial y requisitos. La negociación privada no amplía por sí sola estos plazos.</w:t>
      </w:r>
    </w:p>
    <w:p>
      <w:pPr>
        <w:pStyle w:val="Heading1"/>
        <w:spacing w:before="140" w:after="80"/>
      </w:pPr>
      <w:r>
        <w:t>Fuentes oficiales verificadas</w:t>
      </w:r>
    </w:p>
    <w:p>
      <w:pPr>
        <w:keepNext w:val="0"/>
        <w:widowControl/>
        <w:jc w:val="left"/>
      </w:pPr>
      <w:r>
        <w:rPr>
          <w:rFonts w:ascii="Arial" w:hAnsi="Arial"/>
          <w:color w:val="263A43"/>
          <w:sz w:val="20"/>
        </w:rPr>
        <w:t xml:space="preserve">Fuentes consultadas para esta guía el 21 de octubre de 2026. Los criterios de buenas prácticas no equivalen a una resolución sobre un caso concreto.</w:t>
      </w:r>
    </w:p>
    <w:p>
      <w:pPr>
        <w:keepNext w:val="0"/>
        <w:widowControl/>
      </w:pPr>
      <w:r>
        <w:t xml:space="preserve">1. Acreditación de la condición de heredero — Banco de España, Cliente Bancario. Documentos para acreditar la condición de heredero. Verificación: 2026-10-21.</w:t>
      </w:r>
    </w:p>
    <w:p>
      <w:pPr>
        <w:keepNext w:val="0"/>
        <w:widowControl/>
      </w:pPr>
      <w:r>
        <w:t xml:space="preserve">2. Qué información tiene derecho a obtener el heredero — Banco de España, Cliente Bancario. Información sobre posiciones activas y pasivas, incluso antes de aceptar. Verificación: 2026-10-21.</w:t>
      </w:r>
    </w:p>
    <w:p>
      <w:pPr>
        <w:keepNext w:val="0"/>
        <w:widowControl/>
      </w:pPr>
      <w:r>
        <w:t xml:space="preserve">3. Certificado de posiciones del causante: gratuidad e independencia de la testamentaría — Banco de España, Cliente Bancario. Certificado gratuito e independiente del servicio de testamentaría. Verificación: 2026-10-21.</w:t>
      </w:r>
    </w:p>
    <w:p>
      <w:pPr>
        <w:keepNext w:val="0"/>
        <w:widowControl/>
      </w:pPr>
      <w:r>
        <w:t xml:space="preserve">4. Derecho de información: legitimidad para solicitarla individualmente — Banco de España. Solicitud individual por cada heredero acreditado. Verificación: 2026-10-21.</w:t>
      </w:r>
    </w:p>
    <w:p>
      <w:pPr>
        <w:keepNext w:val="0"/>
        <w:widowControl/>
      </w:pPr>
      <w:r>
        <w:t xml:space="preserve">5. Real Decreto 1629/1991, Reglamento del Impuesto sobre Sucesiones y Donaciones — BOE. Arts. 67-68: plazo fiscal general y prórroga. Verificación: 2026-10-21.</w:t>
      </w:r>
    </w:p>
    <w:p>
      <w:pPr>
        <w:keepNext w:val="0"/>
        <w:widowControl/>
      </w:pPr>
      <w:r>
        <w:rPr>
          <w:rFonts w:ascii="Arial" w:hAnsi="Arial"/>
          <w:i/>
          <w:color w:val="68777D"/>
          <w:sz w:val="16"/>
        </w:rPr>
        <w:t xml:space="preserve">Guía de uso y ejemplos actualizados el 21 de octubre de 2026. Compruebe la competencia y la regulación territorial aplicable al utilizarla.</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lientebancario.bde.es/pcb/es/menu-horizontal/productosservici/herencias/guia-textual/Derechodeinformacionsobrelasposicionesdelcausante/Acreditacion_de_de6814e11eca761.html" TargetMode="External"/><Relationship Id="rId12" Type="http://schemas.openxmlformats.org/officeDocument/2006/relationships/hyperlink" Target="https://clientebancario.bde.es/pcb/es/menu-horizontal/productosservici/herencias/guia-textual/Derechodeinformacionsobrelasposicionesdelcausante/Que_informacion_769a14e11eca761.html" TargetMode="External"/><Relationship Id="rId13" Type="http://schemas.openxmlformats.org/officeDocument/2006/relationships/hyperlink" Target="https://clientebancario.bde.es/pcb/es/menu-horizontal/productosservici/herencias/Certificado_de__887e4e667f08361.html" TargetMode="External"/><Relationship Id="rId14" Type="http://schemas.openxmlformats.org/officeDocument/2006/relationships/hyperlink" Target="https://www.bde.es/hnb/es/criterios-buenas-practicas/derecho-de-informacion-sobre-las-posiciones-del-causante--legitimidad-para-solicitar-informacion.html" TargetMode="External"/><Relationship Id="rId15" Type="http://schemas.openxmlformats.org/officeDocument/2006/relationships/hyperlink" Target="https://www.boe.es/buscar/act.php?id=BOE-A-1991-27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al banco del certificado de posiciones a fecha de fallecimiento</dc:title>
  <dc:subject>Modelo de solicitud bancaria y guía de uso</dc:subject>
  <dc:creator/>
  <cp:keywords/>
  <dc:description>Modelo jurídico editable de Pérez &amp; Burgos Abogados</dc:description>
  <cp:lastModifiedBy/>
  <cp:revision>1</cp:revision>
  <dcterms:created xsi:type="dcterms:W3CDTF">2013-12-23T23:15:00Z</dcterms:created>
  <dcterms:modified xsi:type="dcterms:W3CDTF">2026-10-21T14:21:49Z</dcterms:modified>
  <cp:category/>
</cp:coreProperties>
</file>