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CIVIL Y CONTRATOS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Comunicación de resolución contractual por incumplimiento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Borrador para comunicar que se da por resuelto un contrato por incumplimiento esencial.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Parte incumplidora.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Relación contractual</w:t>
      </w:r>
    </w:p>
    <w:p>
      <w:pPr>
        <w:jc w:val="both"/>
      </w:pPr>
      <w:r>
        <w:rPr>
          <w:rFonts w:ascii="Arial" w:hAnsi="Arial"/>
        </w:rPr>
        <w:t xml:space="preserve">Contrato: </w:t>
      </w:r>
      <w:r>
        <w:rPr>
          <w:rFonts w:ascii="Arial" w:hAnsi="Arial"/>
          <w:b/>
          <w:color w:val="397CDD"/>
          <w:shd w:fill="E5EFFC"/>
        </w:rPr>
        <w:t>{{CONTRATO}}</w:t>
      </w:r>
      <w:r>
        <w:rPr>
          <w:rFonts w:ascii="Arial" w:hAnsi="Arial"/>
        </w:rPr>
        <w:t xml:space="preserve">. Fecha: </w:t>
      </w:r>
      <w:r>
        <w:rPr>
          <w:rFonts w:ascii="Arial" w:hAnsi="Arial"/>
          <w:b/>
          <w:color w:val="397CDD"/>
          <w:shd w:fill="E5EFFC"/>
        </w:rPr>
        <w:t>{{FECHA}}</w:t>
      </w:r>
      <w:r>
        <w:rPr>
          <w:rFonts w:ascii="Arial" w:hAnsi="Arial"/>
        </w:rPr>
        <w:t xml:space="preserve">. Obligaciones esenciales: </w:t>
      </w:r>
      <w:r>
        <w:rPr>
          <w:rFonts w:ascii="Arial" w:hAnsi="Arial"/>
          <w:b/>
          <w:color w:val="397CDD"/>
          <w:shd w:fill="E5EFFC"/>
        </w:rPr>
        <w:t>{{OBLIGACIONES}}</w:t>
      </w:r>
      <w:r>
        <w:rPr>
          <w:rFonts w:ascii="Arial" w:hAnsi="Arial"/>
        </w:rPr>
        <w:t>.</w:t>
      </w:r>
    </w:p>
    <w:p>
      <w:pPr>
        <w:pStyle w:val="Heading2"/>
      </w:pPr>
      <w:r>
        <w:t>Incumplimiento esencial</w:t>
      </w:r>
    </w:p>
    <w:p>
      <w:pPr>
        <w:jc w:val="both"/>
      </w:pPr>
      <w:r>
        <w:rPr>
          <w:rFonts w:ascii="Arial" w:hAnsi="Arial"/>
        </w:rPr>
        <w:t xml:space="preserve">El incumplimiento consiste en </w:t>
      </w:r>
      <w:r>
        <w:rPr>
          <w:rFonts w:ascii="Arial" w:hAnsi="Arial"/>
          <w:b/>
          <w:color w:val="397CDD"/>
          <w:shd w:fill="E5EFFC"/>
        </w:rPr>
        <w:t>{{HECHOS}}</w:t>
      </w:r>
      <w:r>
        <w:rPr>
          <w:rFonts w:ascii="Arial" w:hAnsi="Arial"/>
        </w:rPr>
        <w:t xml:space="preserve">, acreditado mediante </w:t>
      </w:r>
      <w:r>
        <w:rPr>
          <w:rFonts w:ascii="Arial" w:hAnsi="Arial"/>
          <w:b/>
          <w:color w:val="397CDD"/>
          <w:shd w:fill="E5EFFC"/>
        </w:rPr>
        <w:t>{{PRUEBA}}</w:t>
      </w:r>
      <w:r>
        <w:rPr>
          <w:rFonts w:ascii="Arial" w:hAnsi="Arial"/>
        </w:rPr>
        <w:t xml:space="preserve">, y afecta al fin contractual porque </w:t>
      </w:r>
      <w:r>
        <w:rPr>
          <w:rFonts w:ascii="Arial" w:hAnsi="Arial"/>
          <w:b/>
          <w:color w:val="397CDD"/>
          <w:shd w:fill="E5EFFC"/>
        </w:rPr>
        <w:t>{{CARACTER_ESENCIAL}}</w:t>
      </w:r>
      <w:r>
        <w:rPr>
          <w:rFonts w:ascii="Arial" w:hAnsi="Arial"/>
        </w:rPr>
        <w:t>.</w:t>
      </w:r>
    </w:p>
    <w:p>
      <w:pPr>
        <w:pStyle w:val="Heading2"/>
      </w:pPr>
      <w:r>
        <w:t>Requerimientos anteriores</w:t>
      </w:r>
    </w:p>
    <w:p>
      <w:pPr>
        <w:jc w:val="both"/>
      </w:pPr>
      <w:r>
        <w:rPr>
          <w:rFonts w:ascii="Arial" w:hAnsi="Arial"/>
        </w:rPr>
        <w:t xml:space="preserve">Se requirió subsanación o cumplimiento en fechas </w:t>
      </w:r>
      <w:r>
        <w:rPr>
          <w:rFonts w:ascii="Arial" w:hAnsi="Arial"/>
          <w:b/>
          <w:color w:val="397CDD"/>
          <w:shd w:fill="E5EFFC"/>
        </w:rPr>
        <w:t>{{REQUERIMIENTOS}}</w:t>
      </w:r>
      <w:r>
        <w:rPr>
          <w:rFonts w:ascii="Arial" w:hAnsi="Arial"/>
        </w:rPr>
        <w:t xml:space="preserve">, con resultado </w:t>
      </w:r>
      <w:r>
        <w:rPr>
          <w:rFonts w:ascii="Arial" w:hAnsi="Arial"/>
          <w:b/>
          <w:color w:val="397CDD"/>
          <w:shd w:fill="E5EFFC"/>
        </w:rPr>
        <w:t>{{RESULTADO}}</w:t>
      </w:r>
      <w:r>
        <w:rPr>
          <w:rFonts w:ascii="Arial" w:hAnsi="Arial"/>
        </w:rPr>
        <w:t>.</w:t>
      </w:r>
    </w:p>
    <w:p>
      <w:pPr>
        <w:pStyle w:val="Heading2"/>
      </w:pPr>
      <w:r>
        <w:t>Declaración</w:t>
      </w:r>
    </w:p>
    <w:p>
      <w:pPr>
        <w:jc w:val="both"/>
      </w:pPr>
      <w:r>
        <w:rPr>
          <w:rFonts w:ascii="Arial" w:hAnsi="Arial"/>
        </w:rPr>
        <w:t xml:space="preserve">Se comunica la resolución con efectos desde </w:t>
      </w:r>
      <w:r>
        <w:rPr>
          <w:rFonts w:ascii="Arial" w:hAnsi="Arial"/>
          <w:b/>
          <w:color w:val="397CDD"/>
          <w:shd w:fill="E5EFFC"/>
        </w:rPr>
        <w:t>{{FECHA_EFECTOS}}</w:t>
      </w:r>
      <w:r>
        <w:rPr>
          <w:rFonts w:ascii="Arial" w:hAnsi="Arial"/>
        </w:rPr>
        <w:t>, sin perjuicio de la liquidación y restituciones que correspondan.</w:t>
      </w:r>
    </w:p>
    <w:p>
      <w:pPr>
        <w:pStyle w:val="Heading2"/>
      </w:pPr>
      <w:r>
        <w:t>Restitución y daños</w:t>
      </w:r>
    </w:p>
    <w:p>
      <w:pPr>
        <w:jc w:val="both"/>
      </w:pPr>
      <w:r>
        <w:rPr>
          <w:rFonts w:ascii="Arial" w:hAnsi="Arial"/>
        </w:rPr>
        <w:t xml:space="preserve">Se solicita </w:t>
      </w:r>
      <w:r>
        <w:rPr>
          <w:rFonts w:ascii="Arial" w:hAnsi="Arial"/>
          <w:b/>
          <w:color w:val="397CDD"/>
          <w:shd w:fill="E5EFFC"/>
        </w:rPr>
        <w:t>{{RESTITUCIONES}}</w:t>
      </w:r>
      <w:r>
        <w:rPr>
          <w:rFonts w:ascii="Arial" w:hAnsi="Arial"/>
        </w:rPr>
        <w:t xml:space="preserve"> y se reserva la reclamación de </w:t>
      </w:r>
      <w:r>
        <w:rPr>
          <w:rFonts w:ascii="Arial" w:hAnsi="Arial"/>
          <w:b/>
          <w:color w:val="397CDD"/>
          <w:shd w:fill="E5EFFC"/>
        </w:rPr>
        <w:t>{{DANOS_PERJUICIOS}}</w:t>
      </w:r>
      <w:r>
        <w:rPr>
          <w:rFonts w:ascii="Arial" w:hAnsi="Arial"/>
        </w:rPr>
        <w:t xml:space="preserve"> tras su acreditación.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r>
        <w:br w:type="page"/>
      </w: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Cláusula de resolución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Gravedad y prueba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Requerimiento previo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Prestaciones que deben restituirse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Daños cuantificables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todo incumplimiento permite resolver el contrato.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Una resolución precipitada puede convertirse en incumplimiento propio.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Revisa consumidores, arrendamientos y contratos con régimen especial.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Código Civil, art. 1124</w:t>
      </w:r>
      <w:r>
        <w:t xml:space="preserve"> — https://www.boe.es/buscar/act.php?id=BOE-A-1889-4763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