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397CDD"/>
          <w:sz w:val="16"/>
        </w:rPr>
        <w:t>CIVIL Y HERENCIAS</w:t>
      </w:r>
    </w:p>
    <w:p>
      <w:pPr>
        <w:pStyle w:val="Title"/>
        <w:jc w:val="center"/>
      </w:pPr>
      <w:r>
        <w:rPr>
          <w:rFonts w:ascii="Georgia" w:hAnsi="Georgia"/>
          <w:b/>
          <w:color w:val="102E3C"/>
          <w:sz w:val="42"/>
        </w:rPr>
        <w:t>Requerimiento de pago o complemento de la legítima para revisión profesional</w:t>
      </w:r>
    </w:p>
    <w:p>
      <w:pPr>
        <w:jc w:val="center"/>
      </w:pPr>
      <w:r>
        <w:rPr>
          <w:rFonts w:ascii="Arial" w:hAnsi="Arial"/>
          <w:color w:val="68777D"/>
          <w:sz w:val="20"/>
        </w:rPr>
        <w:t>Borrador de reclamación extrajudicial que exige validar la ley aplicable, la condición de legitimario y el cálculo antes de enviarlo.</w:t>
      </w:r>
    </w:p>
    <w:tbl>
      <w:tblPr>
        <w:tblW w:type="auto" w:w="0"/>
        <w:tblLayout w:type="autofit"/>
        <w:tblLook w:firstColumn="1" w:firstRow="1" w:lastColumn="0" w:lastRow="0" w:noHBand="0" w:noVBand="1" w:val="04A0"/>
      </w:tblPr>
      <w:tblGrid>
        <w:gridCol w:w="9547"/>
      </w:tblGrid>
      <w:tr>
        <w:tc>
          <w:tcPr>
            <w:tcW w:type="dxa" w:w="9547"/>
            <w:shd w:fill="F4EFE7"/>
          </w:tcPr>
          <w:p>
            <w:r>
              <w:rPr>
                <w:rFonts w:ascii="Arial" w:hAnsi="Arial"/>
                <w:b/>
                <w:color w:val="102E3C"/>
                <w:sz w:val="20"/>
              </w:rPr>
              <w:t>MODELO EDITABLE · GUÍA DE USO</w:t>
            </w:r>
          </w:p>
          <w:p>
            <w:r>
              <w:rPr>
                <w:rFonts w:ascii="Arial" w:hAnsi="Arial"/>
                <w:color w:val="263A43"/>
                <w:sz w:val="20"/>
              </w:rPr>
              <w:t>Borrador para revisión letrada: no lo envíes ni lo firmes hasta validar la ley sucesoria, el cálculo, la acción y el plazo. Las legítimas y su naturaleza cambian según la ley sucesoria; no se aplican los porcentajes del Código Civil común a toda España. El abogado debe validar también acción, destinatario y plazos.</w:t>
            </w:r>
          </w:p>
          <w:p>
            <w:r>
              <w:rPr>
                <w:rFonts w:ascii="Arial" w:hAnsi="Arial"/>
                <w:color w:val="263A43"/>
                <w:sz w:val="20"/>
              </w:rPr>
              <w:t>Completa solo datos comprobados, elimina alternativas incompatibles y conserva una copia y el justificante de presentación.</w:t>
            </w:r>
          </w:p>
        </w:tc>
      </w:tr>
    </w:tbl>
    <w:p>
      <w:pPr>
        <w:pStyle w:val="Heading1"/>
        <w:jc w:val="center"/>
      </w:pPr>
      <w:r>
        <w:t>MODELO EDITABLE</w:t>
      </w:r>
    </w:p>
    <w:p>
      <w:pPr>
        <w:jc w:val="both"/>
      </w:pPr>
      <w:r>
        <w:rPr>
          <w:rFonts w:ascii="Arial" w:hAnsi="Arial"/>
          <w:color w:val="263A43"/>
          <w:sz w:val="20"/>
        </w:rPr>
        <w:t>Complete los campos entre corchetes. Antes de presentar una carta, elimine las indicaciones de uso y las alternativas no aplicables. Las fichas y borradores conservan su carácter preparatorio.</w:t>
      </w:r>
    </w:p>
    <w:p>
      <w:pPr>
        <w:pStyle w:val="Heading2"/>
      </w:pPr>
      <w:r>
        <w:t>BORRADOR DE REQUERIMIENTO — REVISIÓN LETRADA ANTES DEL ENVÍO</w:t>
      </w:r>
    </w:p>
    <w:p>
      <w:pPr>
        <w:pStyle w:val="Heading2"/>
      </w:pPr>
      <w:r>
        <w:t>A D./D.ª [PERSONA O PERSONAS CORRECTAMENTE OBLIGADAS]</w:t>
      </w:r>
    </w:p>
    <w:p>
      <w:pPr>
        <w:jc w:val="both"/>
      </w:pPr>
      <w:r>
        <w:rPr>
          <w:rFonts w:ascii="Arial" w:hAnsi="Arial"/>
          <w:color w:val="263A43"/>
          <w:sz w:val="20"/>
        </w:rPr>
        <w:t xml:space="preserve">Asunto: derechos legitimarios en la sucesión de </w:t>
      </w:r>
      <w:r>
        <w:rPr>
          <w:rFonts w:ascii="Arial" w:hAnsi="Arial"/>
          <w:b/>
          <w:color w:val="397CDD"/>
          <w:sz w:val="20"/>
          <w:shd w:fill="E8F0FB"/>
        </w:rPr>
        <w:t>[CAUSANTE]</w:t>
      </w:r>
      <w:r>
        <w:rPr>
          <w:rFonts w:ascii="Arial" w:hAnsi="Arial"/>
          <w:color w:val="263A43"/>
          <w:sz w:val="20"/>
        </w:rPr>
        <w:t>.</w:t>
      </w:r>
    </w:p>
    <w:p>
      <w:pPr>
        <w:jc w:val="both"/>
      </w:pPr>
      <w:r>
        <w:rPr>
          <w:rFonts w:ascii="Arial" w:hAnsi="Arial"/>
          <w:color w:val="263A43"/>
          <w:sz w:val="20"/>
        </w:rPr>
        <w:t xml:space="preserve">D./D.ª </w:t>
      </w:r>
      <w:r>
        <w:rPr>
          <w:rFonts w:ascii="Arial" w:hAnsi="Arial"/>
          <w:b/>
          <w:color w:val="397CDD"/>
          <w:sz w:val="20"/>
          <w:shd w:fill="E8F0FB"/>
        </w:rPr>
        <w:t>[NOMBRE]</w:t>
      </w:r>
      <w:r>
        <w:rPr>
          <w:rFonts w:ascii="Arial" w:hAnsi="Arial"/>
          <w:color w:val="263A43"/>
          <w:sz w:val="20"/>
        </w:rPr>
        <w:t xml:space="preserve">, con </w:t>
      </w:r>
      <w:r>
        <w:rPr>
          <w:rFonts w:ascii="Arial" w:hAnsi="Arial"/>
          <w:b/>
          <w:color w:val="397CDD"/>
          <w:sz w:val="20"/>
          <w:shd w:fill="E8F0FB"/>
        </w:rPr>
        <w:t>[IDENTIFICACIÓN]</w:t>
      </w:r>
      <w:r>
        <w:rPr>
          <w:rFonts w:ascii="Arial" w:hAnsi="Arial"/>
          <w:color w:val="263A43"/>
          <w:sz w:val="20"/>
        </w:rPr>
        <w:t xml:space="preserve">, actuando </w:t>
      </w:r>
      <w:r>
        <w:rPr>
          <w:rFonts w:ascii="Arial" w:hAnsi="Arial"/>
          <w:b/>
          <w:color w:val="397CDD"/>
          <w:sz w:val="20"/>
          <w:shd w:fill="E8F0FB"/>
        </w:rPr>
        <w:t>[EN NOMBRE PROPIO / REPRESENTACIÓN ACREDITADA]</w:t>
      </w:r>
      <w:r>
        <w:rPr>
          <w:rFonts w:ascii="Arial" w:hAnsi="Arial"/>
          <w:color w:val="263A43"/>
          <w:sz w:val="20"/>
        </w:rPr>
        <w:t xml:space="preserve">, y contacto </w:t>
      </w:r>
      <w:r>
        <w:rPr>
          <w:rFonts w:ascii="Arial" w:hAnsi="Arial"/>
          <w:b/>
          <w:color w:val="397CDD"/>
          <w:sz w:val="20"/>
          <w:shd w:fill="E8F0FB"/>
        </w:rPr>
        <w:t>[DATOS]</w:t>
      </w:r>
      <w:r>
        <w:rPr>
          <w:rFonts w:ascii="Arial" w:hAnsi="Arial"/>
          <w:color w:val="263A43"/>
          <w:sz w:val="20"/>
        </w:rPr>
        <w:t>, respetuosamente,</w:t>
      </w:r>
    </w:p>
    <w:p>
      <w:pPr>
        <w:pStyle w:val="Heading2"/>
      </w:pPr>
      <w:r>
        <w:t>EXPONE</w:t>
      </w:r>
    </w:p>
    <w:p>
      <w:pPr>
        <w:jc w:val="both"/>
      </w:pPr>
      <w:r>
        <w:rPr>
          <w:rFonts w:ascii="Arial" w:hAnsi="Arial"/>
          <w:color w:val="263A43"/>
          <w:sz w:val="20"/>
        </w:rPr>
        <w:t xml:space="preserve">Primero. D./D.ª </w:t>
      </w:r>
      <w:r>
        <w:rPr>
          <w:rFonts w:ascii="Arial" w:hAnsi="Arial"/>
          <w:b/>
          <w:color w:val="397CDD"/>
          <w:sz w:val="20"/>
          <w:shd w:fill="E8F0FB"/>
        </w:rPr>
        <w:t>[CAUSANTE]</w:t>
      </w:r>
      <w:r>
        <w:rPr>
          <w:rFonts w:ascii="Arial" w:hAnsi="Arial"/>
          <w:color w:val="263A43"/>
          <w:sz w:val="20"/>
        </w:rPr>
        <w:t xml:space="preserve"> falleció el </w:t>
      </w:r>
      <w:r>
        <w:rPr>
          <w:rFonts w:ascii="Arial" w:hAnsi="Arial"/>
          <w:b/>
          <w:color w:val="397CDD"/>
          <w:sz w:val="20"/>
          <w:shd w:fill="E8F0FB"/>
        </w:rPr>
        <w:t>[FECHA]</w:t>
      </w:r>
      <w:r>
        <w:rPr>
          <w:rFonts w:ascii="Arial" w:hAnsi="Arial"/>
          <w:color w:val="263A43"/>
          <w:sz w:val="20"/>
        </w:rPr>
        <w:t xml:space="preserve">. Su título sucesorio es </w:t>
      </w:r>
      <w:r>
        <w:rPr>
          <w:rFonts w:ascii="Arial" w:hAnsi="Arial"/>
          <w:b/>
          <w:color w:val="397CDD"/>
          <w:sz w:val="20"/>
          <w:shd w:fill="E8F0FB"/>
        </w:rPr>
        <w:t>[DOCUMENTO Y CLÁUSULAS]</w:t>
      </w:r>
      <w:r>
        <w:rPr>
          <w:rFonts w:ascii="Arial" w:hAnsi="Arial"/>
          <w:color w:val="263A43"/>
          <w:sz w:val="20"/>
        </w:rPr>
        <w:t xml:space="preserve">. La ley sucesoria que se considera aplicable, tras su revisión, es </w:t>
      </w:r>
      <w:r>
        <w:rPr>
          <w:rFonts w:ascii="Arial" w:hAnsi="Arial"/>
          <w:b/>
          <w:color w:val="397CDD"/>
          <w:sz w:val="20"/>
          <w:shd w:fill="E8F0FB"/>
        </w:rPr>
        <w:t>[LEY Y FUNDAMENTO]</w:t>
      </w:r>
      <w:r>
        <w:rPr>
          <w:rFonts w:ascii="Arial" w:hAnsi="Arial"/>
          <w:color w:val="263A43"/>
          <w:sz w:val="20"/>
        </w:rPr>
        <w:t>.</w:t>
      </w:r>
    </w:p>
    <w:p>
      <w:pPr>
        <w:jc w:val="both"/>
      </w:pPr>
      <w:r>
        <w:rPr>
          <w:rFonts w:ascii="Arial" w:hAnsi="Arial"/>
          <w:color w:val="263A43"/>
          <w:sz w:val="20"/>
        </w:rPr>
        <w:t xml:space="preserve">Segundo. Mi condición de </w:t>
      </w:r>
      <w:r>
        <w:rPr>
          <w:rFonts w:ascii="Arial" w:hAnsi="Arial"/>
          <w:b/>
          <w:color w:val="397CDD"/>
          <w:sz w:val="20"/>
          <w:shd w:fill="E8F0FB"/>
        </w:rPr>
        <w:t>[LEGITIMARIO Y RELACIÓN]</w:t>
      </w:r>
      <w:r>
        <w:rPr>
          <w:rFonts w:ascii="Arial" w:hAnsi="Arial"/>
          <w:color w:val="263A43"/>
          <w:sz w:val="20"/>
        </w:rPr>
        <w:t xml:space="preserve"> se acredita mediante </w:t>
      </w:r>
      <w:r>
        <w:rPr>
          <w:rFonts w:ascii="Arial" w:hAnsi="Arial"/>
          <w:b/>
          <w:color w:val="397CDD"/>
          <w:sz w:val="20"/>
          <w:shd w:fill="E8F0FB"/>
        </w:rPr>
        <w:t>[DOCUMENTOS]</w:t>
      </w:r>
      <w:r>
        <w:rPr>
          <w:rFonts w:ascii="Arial" w:hAnsi="Arial"/>
          <w:color w:val="263A43"/>
          <w:sz w:val="20"/>
        </w:rPr>
        <w:t xml:space="preserve">. El fundamento de esta petición es </w:t>
      </w:r>
      <w:r>
        <w:rPr>
          <w:rFonts w:ascii="Arial" w:hAnsi="Arial"/>
          <w:b/>
          <w:color w:val="397CDD"/>
          <w:sz w:val="20"/>
          <w:shd w:fill="E8F0FB"/>
        </w:rPr>
        <w:t>[PRECEPTO Y DERECHO CONCRETO VALIDADOS POR EL ABOGADO]</w:t>
      </w:r>
      <w:r>
        <w:rPr>
          <w:rFonts w:ascii="Arial" w:hAnsi="Arial"/>
          <w:color w:val="263A43"/>
          <w:sz w:val="20"/>
        </w:rPr>
        <w:t>. No se utiliza este escrito para sustituir una acción de impugnación distinta.</w:t>
      </w:r>
    </w:p>
    <w:p>
      <w:pPr>
        <w:jc w:val="both"/>
      </w:pPr>
      <w:r>
        <w:rPr>
          <w:rFonts w:ascii="Arial" w:hAnsi="Arial"/>
          <w:color w:val="263A43"/>
          <w:sz w:val="20"/>
        </w:rPr>
        <w:t>Tercero. Los elementos patrimoniales revisados son los siguientes:</w:t>
      </w:r>
    </w:p>
    <w:p>
      <w:pPr>
        <w:jc w:val="both"/>
      </w:pPr>
      <w:r>
        <w:rPr>
          <w:rFonts w:ascii="Arial" w:hAnsi="Arial"/>
          <w:color w:val="263A43"/>
          <w:sz w:val="20"/>
        </w:rPr>
        <w:t xml:space="preserve">Bienes y derechos computables: </w:t>
      </w:r>
      <w:r>
        <w:rPr>
          <w:rFonts w:ascii="Arial" w:hAnsi="Arial"/>
          <w:b/>
          <w:color w:val="397CDD"/>
          <w:sz w:val="20"/>
          <w:shd w:fill="E8F0FB"/>
        </w:rPr>
        <w:t>[IMPORTE Y ANEXO]</w:t>
      </w:r>
      <w:r>
        <w:rPr>
          <w:rFonts w:ascii="Arial" w:hAnsi="Arial"/>
          <w:color w:val="263A43"/>
          <w:sz w:val="20"/>
        </w:rPr>
        <w:t xml:space="preserve">. Deudas y cargas deducibles: </w:t>
      </w:r>
      <w:r>
        <w:rPr>
          <w:rFonts w:ascii="Arial" w:hAnsi="Arial"/>
          <w:b/>
          <w:color w:val="397CDD"/>
          <w:sz w:val="20"/>
          <w:shd w:fill="E8F0FB"/>
        </w:rPr>
        <w:t>[IMPORTE Y JUSTIFICACIÓN]</w:t>
      </w:r>
      <w:r>
        <w:rPr>
          <w:rFonts w:ascii="Arial" w:hAnsi="Arial"/>
          <w:color w:val="263A43"/>
          <w:sz w:val="20"/>
        </w:rPr>
        <w:t xml:space="preserve">. Donaciones y liberalidades a considerar: </w:t>
      </w:r>
      <w:r>
        <w:rPr>
          <w:rFonts w:ascii="Arial" w:hAnsi="Arial"/>
          <w:b/>
          <w:color w:val="397CDD"/>
          <w:sz w:val="20"/>
          <w:shd w:fill="E8F0FB"/>
        </w:rPr>
        <w:t>[RELACIÓN Y TRATAMIENTO REVISADO]</w:t>
      </w:r>
      <w:r>
        <w:rPr>
          <w:rFonts w:ascii="Arial" w:hAnsi="Arial"/>
          <w:color w:val="263A43"/>
          <w:sz w:val="20"/>
        </w:rPr>
        <w:t>.</w:t>
      </w:r>
    </w:p>
    <w:p>
      <w:pPr>
        <w:jc w:val="both"/>
      </w:pPr>
      <w:r>
        <w:rPr>
          <w:rFonts w:ascii="Arial" w:hAnsi="Arial"/>
          <w:color w:val="263A43"/>
          <w:sz w:val="20"/>
        </w:rPr>
        <w:t xml:space="preserve">Base civil de cálculo: </w:t>
      </w:r>
      <w:r>
        <w:rPr>
          <w:rFonts w:ascii="Arial" w:hAnsi="Arial"/>
          <w:b/>
          <w:color w:val="397CDD"/>
          <w:sz w:val="20"/>
          <w:shd w:fill="E8F0FB"/>
        </w:rPr>
        <w:t>[IMPORTE Y OPERACIONES]</w:t>
      </w:r>
      <w:r>
        <w:rPr>
          <w:rFonts w:ascii="Arial" w:hAnsi="Arial"/>
          <w:color w:val="263A43"/>
          <w:sz w:val="20"/>
        </w:rPr>
        <w:t xml:space="preserve">. Cuota o derecho aplicable: </w:t>
      </w:r>
      <w:r>
        <w:rPr>
          <w:rFonts w:ascii="Arial" w:hAnsi="Arial"/>
          <w:b/>
          <w:color w:val="397CDD"/>
          <w:sz w:val="20"/>
          <w:shd w:fill="E8F0FB"/>
        </w:rPr>
        <w:t>[FUNDAMENTO Y CÁLCULO, SIN PORCENTAJES PREDETERMINADOS]</w:t>
      </w:r>
      <w:r>
        <w:rPr>
          <w:rFonts w:ascii="Arial" w:hAnsi="Arial"/>
          <w:color w:val="263A43"/>
          <w:sz w:val="20"/>
        </w:rPr>
        <w:t xml:space="preserve">. Atribuciones imputables ya recibidas: </w:t>
      </w:r>
      <w:r>
        <w:rPr>
          <w:rFonts w:ascii="Arial" w:hAnsi="Arial"/>
          <w:b/>
          <w:color w:val="397CDD"/>
          <w:sz w:val="20"/>
          <w:shd w:fill="E8F0FB"/>
        </w:rPr>
        <w:t>[RELACIÓN E IMPORTE]</w:t>
      </w:r>
      <w:r>
        <w:rPr>
          <w:rFonts w:ascii="Arial" w:hAnsi="Arial"/>
          <w:color w:val="263A43"/>
          <w:sz w:val="20"/>
        </w:rPr>
        <w:t xml:space="preserve">. Diferencia resultante: </w:t>
      </w:r>
      <w:r>
        <w:rPr>
          <w:rFonts w:ascii="Arial" w:hAnsi="Arial"/>
          <w:b/>
          <w:color w:val="397CDD"/>
          <w:sz w:val="20"/>
          <w:shd w:fill="E8F0FB"/>
        </w:rPr>
        <w:t>[IMPORTE REVISADO / PENDIENTE DE DOCUMENTOS]</w:t>
      </w:r>
      <w:r>
        <w:rPr>
          <w:rFonts w:ascii="Arial" w:hAnsi="Arial"/>
          <w:color w:val="263A43"/>
          <w:sz w:val="20"/>
        </w:rPr>
        <w:t>.</w:t>
      </w:r>
    </w:p>
    <w:p>
      <w:pPr>
        <w:jc w:val="both"/>
      </w:pPr>
      <w:r>
        <w:rPr>
          <w:rFonts w:ascii="Arial" w:hAnsi="Arial"/>
          <w:color w:val="263A43"/>
          <w:sz w:val="20"/>
        </w:rPr>
        <w:t xml:space="preserve">Cuarto. La información que todavía falta para completar o contrastar el cálculo es </w:t>
      </w:r>
      <w:r>
        <w:rPr>
          <w:rFonts w:ascii="Arial" w:hAnsi="Arial"/>
          <w:b/>
          <w:color w:val="397CDD"/>
          <w:sz w:val="20"/>
          <w:shd w:fill="E8F0FB"/>
        </w:rPr>
        <w:t>[RELACIÓN CONCRETA]</w:t>
      </w:r>
      <w:r>
        <w:rPr>
          <w:rFonts w:ascii="Arial" w:hAnsi="Arial"/>
          <w:color w:val="263A43"/>
          <w:sz w:val="20"/>
        </w:rPr>
        <w:t xml:space="preserve">. La modalidad jurídicamente procedente de satisfacción se identifica como </w:t>
      </w:r>
      <w:r>
        <w:rPr>
          <w:rFonts w:ascii="Arial" w:hAnsi="Arial"/>
          <w:b/>
          <w:color w:val="397CDD"/>
          <w:sz w:val="20"/>
          <w:shd w:fill="E8F0FB"/>
        </w:rPr>
        <w:t>[ENTREGA, PAGO U OTRA, SEGÚN LA LEY Y EL TÍTULO]</w:t>
      </w:r>
      <w:r>
        <w:rPr>
          <w:rFonts w:ascii="Arial" w:hAnsi="Arial"/>
          <w:color w:val="263A43"/>
          <w:sz w:val="20"/>
        </w:rPr>
        <w:t>.</w:t>
      </w:r>
    </w:p>
    <w:p>
      <w:pPr>
        <w:pStyle w:val="Heading2"/>
      </w:pPr>
      <w:r>
        <w:t>SOLICITA</w:t>
      </w:r>
    </w:p>
    <w:p>
      <w:pPr>
        <w:jc w:val="both"/>
      </w:pPr>
      <w:r>
        <w:rPr>
          <w:rFonts w:ascii="Arial" w:hAnsi="Arial"/>
          <w:color w:val="263A43"/>
          <w:sz w:val="20"/>
        </w:rPr>
        <w:t xml:space="preserve">Primero. </w:t>
      </w:r>
      <w:r>
        <w:rPr>
          <w:rFonts w:ascii="Arial" w:hAnsi="Arial"/>
          <w:b/>
          <w:color w:val="397CDD"/>
          <w:sz w:val="20"/>
          <w:shd w:fill="E8F0FB"/>
        </w:rPr>
        <w:t>[CONSERVAR SOLO LA OPCIÓN VALIDADA: QUE SE SATISFAGA O COMPLETE MI DERECHO EN LA FORMA E IMPORTE REVISADOS DE ... / QUE SE FACILITEN LOS DOCUMENTOS ... PARA CONCRETAR EL DERECHO Y SU SATISFACCIÓN]</w:t>
      </w:r>
      <w:r>
        <w:rPr>
          <w:rFonts w:ascii="Arial" w:hAnsi="Arial"/>
          <w:color w:val="263A43"/>
          <w:sz w:val="20"/>
        </w:rPr>
        <w:t>.</w:t>
      </w:r>
    </w:p>
    <w:p>
      <w:pPr>
        <w:jc w:val="both"/>
      </w:pPr>
      <w:r>
        <w:rPr>
          <w:rFonts w:ascii="Arial" w:hAnsi="Arial"/>
          <w:color w:val="263A43"/>
          <w:sz w:val="20"/>
        </w:rPr>
        <w:t xml:space="preserve">Segundo. Que se comunique respuesta fundada y una propuesta de solución por </w:t>
      </w:r>
      <w:r>
        <w:rPr>
          <w:rFonts w:ascii="Arial" w:hAnsi="Arial"/>
          <w:b/>
          <w:color w:val="397CDD"/>
          <w:sz w:val="20"/>
          <w:shd w:fill="E8F0FB"/>
        </w:rPr>
        <w:t>[CANAL]</w:t>
      </w:r>
      <w:r>
        <w:rPr>
          <w:rFonts w:ascii="Arial" w:hAnsi="Arial"/>
          <w:color w:val="263A43"/>
          <w:sz w:val="20"/>
        </w:rPr>
        <w:t xml:space="preserve">, preferentemente antes de </w:t>
      </w:r>
      <w:r>
        <w:rPr>
          <w:rFonts w:ascii="Arial" w:hAnsi="Arial"/>
          <w:b/>
          <w:color w:val="397CDD"/>
          <w:sz w:val="20"/>
          <w:shd w:fill="E8F0FB"/>
        </w:rPr>
        <w:t>[FECHA PROPUESTA, NO PLAZO LEGAL PRESUNTO]</w:t>
      </w:r>
      <w:r>
        <w:rPr>
          <w:rFonts w:ascii="Arial" w:hAnsi="Arial"/>
          <w:color w:val="263A43"/>
          <w:sz w:val="20"/>
        </w:rPr>
        <w:t>, identificando los puntos y valores que se discrepen y su soporte documental.</w:t>
      </w:r>
    </w:p>
    <w:p>
      <w:pPr>
        <w:jc w:val="both"/>
      </w:pPr>
      <w:r>
        <w:rPr>
          <w:rFonts w:ascii="Arial" w:hAnsi="Arial"/>
          <w:color w:val="263A43"/>
          <w:sz w:val="20"/>
        </w:rPr>
        <w:t>Tercero. Que cualquier acuerdo o entrega identifique los conceptos satisfechos y los que continúan pendientes, sin incorporar una renuncia general o declaración de saldo definitivo no negociada.</w:t>
      </w:r>
    </w:p>
    <w:p>
      <w:pPr>
        <w:jc w:val="both"/>
      </w:pPr>
      <w:r>
        <w:rPr>
          <w:rFonts w:ascii="Arial" w:hAnsi="Arial"/>
          <w:color w:val="263A43"/>
          <w:sz w:val="20"/>
        </w:rPr>
        <w:t>Esta petición se limita al derecho y objeto descritos. No expresa conformidad con una partición, renuncia a derechos no examinados ni aceptación de valoraciones o deudas ajenas a lo expresamente indicado.</w:t>
      </w:r>
    </w:p>
    <w:p>
      <w:pPr>
        <w:jc w:val="both"/>
      </w:pPr>
      <w:r>
        <w:rPr>
          <w:rFonts w:ascii="Arial" w:hAnsi="Arial"/>
          <w:color w:val="263A43"/>
          <w:sz w:val="20"/>
        </w:rPr>
        <w:t xml:space="preserve">Anexos: </w:t>
      </w:r>
      <w:r>
        <w:rPr>
          <w:rFonts w:ascii="Arial" w:hAnsi="Arial"/>
          <w:b/>
          <w:color w:val="397CDD"/>
          <w:sz w:val="20"/>
          <w:shd w:fill="E8F0FB"/>
        </w:rPr>
        <w:t>[DOCUMENTOS DE LEGITIMACIÓN, TÍTULO Y CÁLCULO REVISADO]</w:t>
      </w:r>
      <w:r>
        <w:rPr>
          <w:rFonts w:ascii="Arial" w:hAnsi="Arial"/>
          <w:color w:val="263A43"/>
          <w:sz w:val="20"/>
        </w:rPr>
        <w:t>.</w:t>
      </w:r>
    </w:p>
    <w:p>
      <w:pPr>
        <w:jc w:val="both"/>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w:t>
      </w:r>
    </w:p>
    <w:p>
      <w:pPr>
        <w:jc w:val="both"/>
      </w:pPr>
      <w:r>
        <w:rPr>
          <w:rFonts w:ascii="Arial" w:hAnsi="Arial"/>
          <w:color w:val="263A43"/>
          <w:sz w:val="20"/>
        </w:rPr>
        <w:t xml:space="preserve">Firma del remitente, solo tras validación del texto: </w:t>
      </w:r>
      <w:r>
        <w:rPr>
          <w:rFonts w:ascii="Arial" w:hAnsi="Arial"/>
          <w:b/>
          <w:color w:val="397CDD"/>
          <w:sz w:val="20"/>
          <w:shd w:fill="E8F0FB"/>
        </w:rPr>
        <w:t>[NOMBRE]</w:t>
      </w:r>
      <w:r>
        <w:rPr>
          <w:rFonts w:ascii="Arial" w:hAnsi="Arial"/>
          <w:color w:val="263A43"/>
          <w:sz w:val="20"/>
        </w:rPr>
        <w:t>.</w:t>
      </w:r>
    </w:p>
    <w:p>
      <w:r>
        <w:br w:type="page"/>
      </w:r>
    </w:p>
    <w:p>
      <w:pPr>
        <w:pStyle w:val="Heading1"/>
        <w:jc w:val="center"/>
      </w:pPr>
      <w:r>
        <w:t>GUÍA DE REVISIÓN · NO ADJUNTAR AL ESCRITO</w:t>
      </w:r>
    </w:p>
    <w:p>
      <w:pPr>
        <w:jc w:val="both"/>
      </w:pPr>
      <w:r>
        <w:rPr>
          <w:rFonts w:ascii="Arial" w:hAnsi="Arial"/>
          <w:color w:val="263A43"/>
          <w:sz w:val="20"/>
        </w:rPr>
        <w:t>Borrador de reclamación extrajudicial que exige validar la ley aplicable, la condición de legitimario y el cálculo antes de enviarlo.</w:t>
      </w:r>
    </w:p>
    <w:p>
      <w:pPr>
        <w:pStyle w:val="Heading1"/>
      </w:pPr>
      <w:r>
        <w:t>Advertencia principal</w:t>
      </w:r>
    </w:p>
    <w:p>
      <w:pPr>
        <w:jc w:val="both"/>
      </w:pPr>
      <w:r>
        <w:rPr>
          <w:rFonts w:ascii="Arial" w:hAnsi="Arial"/>
          <w:color w:val="263A43"/>
          <w:sz w:val="20"/>
        </w:rPr>
        <w:t>Borrador para revisión letrada: no lo envíes ni lo firmes hasta validar la ley sucesoria, el cálculo, la acción y el plazo. Las legítimas y su naturaleza cambian según la ley sucesoria; no se aplican los porcentajes del Código Civil común a toda España. El abogado debe validar también acción, destinatario y plazos.</w:t>
      </w:r>
    </w:p>
    <w:p>
      <w:pPr>
        <w:jc w:val="both"/>
      </w:pPr>
      <w:r>
        <w:rPr>
          <w:rFonts w:ascii="Arial" w:hAnsi="Arial"/>
          <w:color w:val="263A43"/>
          <w:sz w:val="20"/>
        </w:rPr>
        <w:t>Criterio de uso: Ficha y borrador sujetos a revisión profesional previa; no ofrecer botón de envío automático ni cálculo uniforme de legítimas.</w:t>
      </w:r>
    </w:p>
    <w:p>
      <w:pPr>
        <w:pStyle w:val="Heading1"/>
      </w:pPr>
      <w:r>
        <w:t>Finalidad</w:t>
      </w:r>
    </w:p>
    <w:p>
      <w:pPr>
        <w:jc w:val="both"/>
      </w:pPr>
      <w:r>
        <w:rPr>
          <w:rFonts w:ascii="Arial" w:hAnsi="Arial"/>
          <w:color w:val="263A43"/>
          <w:sz w:val="20"/>
        </w:rPr>
        <w:t>Preparar una petición fundada de información y satisfacción o complemento de la legítima, según el derecho sucesorio aplicable.</w:t>
      </w:r>
    </w:p>
    <w:p>
      <w:pPr>
        <w:pStyle w:val="Heading1"/>
      </w:pPr>
      <w:r>
        <w:t>Para qué no sirve</w:t>
      </w:r>
    </w:p>
    <w:p>
      <w:pPr>
        <w:jc w:val="both"/>
      </w:pPr>
      <w:r>
        <w:rPr>
          <w:rFonts w:ascii="Arial" w:hAnsi="Arial"/>
          <w:color w:val="263A43"/>
          <w:sz w:val="20"/>
        </w:rPr>
        <w:t>No calcula automáticamente legítimas, no es demanda de reducción o preterición, ni impugnación de desheredación o del testamento.</w:t>
      </w:r>
    </w:p>
    <w:p>
      <w:pPr>
        <w:pStyle w:val="Heading1"/>
      </w:pPr>
      <w:r>
        <w:t>Instrucciones de uso</w:t>
      </w:r>
    </w:p>
    <w:p>
      <w:r>
        <w:rPr>
          <w:rFonts w:ascii="Arial" w:hAnsi="Arial"/>
          <w:color w:val="263A43"/>
          <w:sz w:val="20"/>
        </w:rPr>
        <w:t>1. Utilice el cuerpo como borrador de trabajo para abogado. Antes de enviarlo deben estar revisados título sucesorio, vecindad civil o ley internacional, legitimación, sujetos obligados y eventual aceptación previa.</w:t>
      </w:r>
    </w:p>
    <w:p>
      <w:r>
        <w:rPr>
          <w:rFonts w:ascii="Arial" w:hAnsi="Arial"/>
          <w:color w:val="263A43"/>
          <w:sz w:val="20"/>
        </w:rPr>
        <w:t>2. Calcule separadamente caudal, deudas, donaciones computables, imputaciones, atribuciones ya recibidas y diferencia. No confunda computación, colación y reducción ni el valor fiscal con el civil.</w:t>
      </w:r>
    </w:p>
    <w:p>
      <w:r>
        <w:rPr>
          <w:rFonts w:ascii="Arial" w:hAnsi="Arial"/>
          <w:color w:val="263A43"/>
          <w:sz w:val="20"/>
        </w:rPr>
        <w:t>3. Elija una sola modalidad: reclamar una cantidad revisada o pedir la documentación necesaria para determinarla. Elimine alternativas incompatibles. El pago en dinero no es siempre la forma exigible de satisfacción de la legítima.</w:t>
      </w:r>
    </w:p>
    <w:p>
      <w:r>
        <w:rPr>
          <w:rFonts w:ascii="Arial" w:hAnsi="Arial"/>
          <w:color w:val="263A43"/>
          <w:sz w:val="20"/>
        </w:rPr>
        <w:t>4. Revise especialmente desheredación, preterición, pactos sucesorios y acuerdos anteriores: pueden exigir acciones diferentes que este modelo no cubre. Este requerimiento no garantiza por sí solo el cumplimiento del requisito de negociación previa de la Ley Orgánica 1/2025. Antes de demandar, un abogado debe comprobar si procede MASC, identidad del objeto, acreditación, confidencialidad y efectos sobre los plazos; no hay interrupción o suspensión universal por enviar cualquier carta.</w:t>
      </w:r>
    </w:p>
    <w:p>
      <w:pPr>
        <w:pStyle w:val="Heading1"/>
      </w:pPr>
      <w:r>
        <w:t>Documentos que debe reunir</w:t>
      </w:r>
    </w:p>
    <w:p>
      <w:r>
        <w:rPr>
          <w:rFonts w:ascii="Arial" w:hAnsi="Arial"/>
          <w:color w:val="263A43"/>
          <w:sz w:val="20"/>
        </w:rPr>
        <w:t>1. Defunción, últimas voluntades, testamento o título sucesorio completo.</w:t>
      </w:r>
    </w:p>
    <w:p>
      <w:r>
        <w:rPr>
          <w:rFonts w:ascii="Arial" w:hAnsi="Arial"/>
          <w:color w:val="263A43"/>
          <w:sz w:val="20"/>
        </w:rPr>
        <w:t>2. Documentos de parentesco, matrimonio y ley sucesoria aplicable.</w:t>
      </w:r>
    </w:p>
    <w:p>
      <w:r>
        <w:rPr>
          <w:rFonts w:ascii="Arial" w:hAnsi="Arial"/>
          <w:color w:val="263A43"/>
          <w:sz w:val="20"/>
        </w:rPr>
        <w:t>3. Inventario, valoración, deudas y donaciones relevantes.</w:t>
      </w:r>
    </w:p>
    <w:p>
      <w:r>
        <w:rPr>
          <w:rFonts w:ascii="Arial" w:hAnsi="Arial"/>
          <w:color w:val="263A43"/>
          <w:sz w:val="20"/>
        </w:rPr>
        <w:t>4. Atribuciones recibidas, particiones, recibís, renuncias y comunicaciones anteriores.</w:t>
      </w:r>
    </w:p>
    <w:p>
      <w:pPr>
        <w:pStyle w:val="Heading1"/>
      </w:pPr>
      <w:r>
        <w:t>Errores que debe evitar</w:t>
      </w:r>
    </w:p>
    <w:p>
      <w:r>
        <w:rPr>
          <w:rFonts w:ascii="Arial" w:hAnsi="Arial"/>
          <w:color w:val="263A43"/>
          <w:sz w:val="20"/>
        </w:rPr>
        <w:t>1. Aplicar una fracción fija a cualquier sucesión española.</w:t>
      </w:r>
    </w:p>
    <w:p>
      <w:r>
        <w:rPr>
          <w:rFonts w:ascii="Arial" w:hAnsi="Arial"/>
          <w:color w:val="263A43"/>
          <w:sz w:val="20"/>
        </w:rPr>
        <w:t>2. Reclamar dinero cuando el régimen aplicable no permite exigir unilateralmente esa modalidad.</w:t>
      </w:r>
    </w:p>
    <w:p>
      <w:r>
        <w:rPr>
          <w:rFonts w:ascii="Arial" w:hAnsi="Arial"/>
          <w:color w:val="263A43"/>
          <w:sz w:val="20"/>
        </w:rPr>
        <w:t>3. Tomar un requerimiento genérico como impugnación de la desheredación o como garantía de conservación de toda acción.</w:t>
      </w:r>
    </w:p>
    <w:p>
      <w:r>
        <w:rPr>
          <w:rFonts w:ascii="Arial" w:hAnsi="Arial"/>
          <w:color w:val="263A43"/>
          <w:sz w:val="20"/>
        </w:rPr>
        <w:t>4. Firmar saldo y finiquito o conformidad con una partición antes de revisar el cálculo.</w:t>
      </w:r>
    </w:p>
    <w:p>
      <w:pPr>
        <w:pStyle w:val="Heading1"/>
      </w:pPr>
      <w:r>
        <w:t>Cuándo acudir a un profesional</w:t>
      </w:r>
    </w:p>
    <w:p>
      <w:pPr>
        <w:jc w:val="both"/>
      </w:pPr>
      <w:r>
        <w:rPr>
          <w:rFonts w:ascii="Arial" w:hAnsi="Arial"/>
          <w:color w:val="263A43"/>
          <w:sz w:val="20"/>
        </w:rPr>
        <w:t>Abogado necesario para determinar la acción y validar el texto antes del envío. Notario si el acuerdo exige escritura, entrega o rectificación pública. Procurador cuando lo exija el eventual proceso. La necesidad profesional aquí es una condición de seguridad editorial, no una afirmación de que toda carta extrajudicial precise firma letrada por ley.</w:t>
      </w:r>
    </w:p>
    <w:p>
      <w:pPr>
        <w:pStyle w:val="Heading1"/>
      </w:pPr>
      <w:r>
        <w:t>Plazos y presentación</w:t>
      </w:r>
    </w:p>
    <w:p>
      <w:pPr>
        <w:jc w:val="both"/>
      </w:pPr>
      <w:r>
        <w:rPr>
          <w:rFonts w:ascii="Arial" w:hAnsi="Arial"/>
          <w:color w:val="263A43"/>
          <w:sz w:val="20"/>
        </w:rPr>
        <w:t>No se ofrece un plazo de prescripción universal. Puede variar con la ley sucesoria, la pretensión concreta y su fecha inicial; algunas impugnaciones tienen reglas propias. Revise de inmediato cualquier plazo y no confíe en que una carta genérica lo interrumpa. En el régimen general del Reglamento del ISD, el plazo sucesorio es de seis meses desde el fallecimiento y la prórroga se solicita dentro de los cinco primeros meses. Compruebe Administración competente, normativa territorial y requisitos. La negociación privada no amplía por sí sola estos plazos.</w:t>
      </w:r>
    </w:p>
    <w:p>
      <w:pPr>
        <w:pStyle w:val="Heading1"/>
      </w:pPr>
      <w:r>
        <w:t>Fuentes oficiales verificadas</w:t>
      </w:r>
    </w:p>
    <w:p>
      <w:pPr>
        <w:jc w:val="both"/>
      </w:pPr>
      <w:r>
        <w:rPr>
          <w:rFonts w:ascii="Arial" w:hAnsi="Arial"/>
          <w:color w:val="263A43"/>
          <w:sz w:val="20"/>
        </w:rPr>
        <w:t>Revisión documental y normativa a 13/09/2026. No equivale a revisión de un caso concreto ni a formulario oficial aprobado por una Administración.</w:t>
      </w:r>
    </w:p>
    <w:p>
      <w:r>
        <w:rPr>
          <w:rFonts w:ascii="Arial" w:hAnsi="Arial"/>
          <w:color w:val="263A43"/>
          <w:sz w:val="20"/>
        </w:rPr>
        <w:t>1. Código Civil — https://www.boe.es/buscar/act.php?id=BOE-A-1889-4763 — BOE. Arts. 806-807, 815 y 817-820: legítima, complemento y reducción en Derecho común; arts. 9.8, 14 y 16: ley aplicable. Verificación: 2026-09-13.</w:t>
      </w:r>
    </w:p>
    <w:p>
      <w:r>
        <w:rPr>
          <w:rFonts w:ascii="Arial" w:hAnsi="Arial"/>
          <w:color w:val="263A43"/>
          <w:sz w:val="20"/>
        </w:rPr>
        <w:t>2. Reglamento (UE) 650/2012, sucesiones internacionales — https://eur-lex.europa.eu/legal-content/ES/TXT/?uri=CELEX:32012R0650 — EUR-Lex, Unión Europea. Arts. 20-23 y 36: ley sucesoria internacional. Verificación: 2026-09-13.</w:t>
      </w:r>
    </w:p>
    <w:p>
      <w:r>
        <w:rPr>
          <w:rFonts w:ascii="Arial" w:hAnsi="Arial"/>
          <w:color w:val="263A43"/>
          <w:sz w:val="20"/>
        </w:rPr>
        <w:t>3. Ley Orgánica 1/2025, eficiencia del Servicio Público de Justicia — https://www.boe.es/eli/es/lo/2025/01/02/1/con — BOE. Arts. 5, 7, 9 y 10: negociación previa y sus efectos. Verificación: 2026-09-13.</w:t>
      </w:r>
    </w:p>
    <w:p>
      <w:r>
        <w:rPr>
          <w:rFonts w:ascii="Arial" w:hAnsi="Arial"/>
          <w:color w:val="263A43"/>
          <w:sz w:val="20"/>
        </w:rPr>
        <w:t>4. Real Decreto 1629/1991, Reglamento del Impuesto sobre Sucesiones y Donaciones — https://www.boe.es/buscar/act.php?id=BOE-A-1991-27678 — BOE. Arts. 67-68: plazos fiscales generales. Verificación: 2026-09-13.</w:t>
      </w:r>
    </w:p>
    <w:p>
      <w:r>
        <w:rPr>
          <w:rFonts w:ascii="Arial" w:hAnsi="Arial"/>
          <w:i/>
          <w:color w:val="68777D"/>
          <w:sz w:val="16"/>
        </w:rPr>
        <w:t>Revisión documental: 13 de septiembre de 2026. Comprueba vigencia, competencia, procedimiento y plazo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