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CIVIL Y HERENCIAS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Requerimiento de información y documentos entre coherederos</w:t>
      </w:r>
    </w:p>
    <w:p>
      <w:pPr>
        <w:jc w:val="center"/>
      </w:pPr>
      <w:r>
        <w:rPr>
          <w:rFonts w:ascii="Arial" w:hAnsi="Arial"/>
          <w:color w:val="68777D"/>
          <w:sz w:val="20"/>
        </w:rPr>
        <w:t>Carta respetuosa para solicitar documentos concretos sobre el patrimonio, su gestión y las operaciones posteriores al fallecimiento.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Pida hechos y documentos identificables, no formule acusaciones de apropiación sin base. El destinatario no queda obligado a una sanción o plazo legal inventado por esta carta. Este recurso no sustituye la repudiación notarial ni la declaración y el inventario necesarios para el beneficio de inventario. En Derecho común, la aceptación pura y simple puede ser expresa en documento público o privado, o tácita por los actos realizados; una cláusula de reserva no neutraliza un acto que jurídicamente implique aceptación.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A D./D.ª [NOMBRE DEL DESTINATARIO]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Asunto: información y documentación sobre la sucesión de </w:t>
      </w:r>
      <w:r>
        <w:rPr>
          <w:rFonts w:ascii="Arial" w:hAnsi="Arial"/>
          <w:b/>
          <w:color w:val="397CDD"/>
          <w:sz w:val="20"/>
          <w:shd w:fill="E8F0FB"/>
        </w:rPr>
        <w:t>[CAUSANTE]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DEL REMITENTE]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 y domicilio de contacto </w:t>
      </w:r>
      <w:r>
        <w:rPr>
          <w:rFonts w:ascii="Arial" w:hAnsi="Arial"/>
          <w:b/>
          <w:color w:val="397CDD"/>
          <w:sz w:val="20"/>
          <w:shd w:fill="E8F0FB"/>
        </w:rPr>
        <w:t>[DOMICILIO]</w:t>
      </w:r>
      <w:r>
        <w:rPr>
          <w:rFonts w:ascii="Arial" w:hAnsi="Arial"/>
          <w:color w:val="263A43"/>
          <w:sz w:val="20"/>
        </w:rPr>
        <w:t>, respetuosamente,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D./D.ª </w:t>
      </w:r>
      <w:r>
        <w:rPr>
          <w:rFonts w:ascii="Arial" w:hAnsi="Arial"/>
          <w:b/>
          <w:color w:val="397CDD"/>
          <w:sz w:val="20"/>
          <w:shd w:fill="E8F0FB"/>
        </w:rPr>
        <w:t>[CAUSANTE]</w:t>
      </w:r>
      <w:r>
        <w:rPr>
          <w:rFonts w:ascii="Arial" w:hAnsi="Arial"/>
          <w:color w:val="263A43"/>
          <w:sz w:val="20"/>
        </w:rPr>
        <w:t xml:space="preserve"> falleció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Mi posición en su sucesión resulta de </w:t>
      </w:r>
      <w:r>
        <w:rPr>
          <w:rFonts w:ascii="Arial" w:hAnsi="Arial"/>
          <w:b/>
          <w:color w:val="397CDD"/>
          <w:sz w:val="20"/>
          <w:shd w:fill="E8F0FB"/>
        </w:rPr>
        <w:t>[TÍTULO Y CLÁUSULA / DOCUMENTO]</w:t>
      </w:r>
      <w:r>
        <w:rPr>
          <w:rFonts w:ascii="Arial" w:hAnsi="Arial"/>
          <w:color w:val="263A43"/>
          <w:sz w:val="20"/>
        </w:rPr>
        <w:t xml:space="preserve">. La situación relativa a aceptación o administración se describe así: </w:t>
      </w:r>
      <w:r>
        <w:rPr>
          <w:rFonts w:ascii="Arial" w:hAnsi="Arial"/>
          <w:b/>
          <w:color w:val="397CDD"/>
          <w:sz w:val="20"/>
          <w:shd w:fill="E8F0FB"/>
        </w:rPr>
        <w:t>[SITUACIÓN DOCUMENTADA, SIN DECLARACIÓN NUEVA DE ACEPTACIÓN]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Para comprobar el patrimonio y los actos de conservación o gestión, faltan los documentos siguientes, que según </w:t>
      </w:r>
      <w:r>
        <w:rPr>
          <w:rFonts w:ascii="Arial" w:hAnsi="Arial"/>
          <w:b/>
          <w:color w:val="397CDD"/>
          <w:sz w:val="20"/>
          <w:shd w:fill="E8F0FB"/>
        </w:rPr>
        <w:t>[FUENTE OBJETIVA]</w:t>
      </w:r>
      <w:r>
        <w:rPr>
          <w:rFonts w:ascii="Arial" w:hAnsi="Arial"/>
          <w:color w:val="263A43"/>
          <w:sz w:val="20"/>
        </w:rPr>
        <w:t xml:space="preserve"> podrían obrar en su poder o bajo su gestión: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 1: </w:t>
      </w:r>
      <w:r>
        <w:rPr>
          <w:rFonts w:ascii="Arial" w:hAnsi="Arial"/>
          <w:b/>
          <w:color w:val="397CDD"/>
          <w:sz w:val="20"/>
          <w:shd w:fill="E8F0FB"/>
        </w:rPr>
        <w:t>[IDENTIFICACIÓN, BIEN O CUENTA Y PERIODO]</w:t>
      </w:r>
      <w:r>
        <w:rPr>
          <w:rFonts w:ascii="Arial" w:hAnsi="Arial"/>
          <w:color w:val="263A43"/>
          <w:sz w:val="20"/>
        </w:rPr>
        <w:t xml:space="preserve">. Motivo de la solicitud: </w:t>
      </w:r>
      <w:r>
        <w:rPr>
          <w:rFonts w:ascii="Arial" w:hAnsi="Arial"/>
          <w:b/>
          <w:color w:val="397CDD"/>
          <w:sz w:val="20"/>
          <w:shd w:fill="E8F0FB"/>
        </w:rPr>
        <w:t>[FINALIDAD]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 2: </w:t>
      </w:r>
      <w:r>
        <w:rPr>
          <w:rFonts w:ascii="Arial" w:hAnsi="Arial"/>
          <w:b/>
          <w:color w:val="397CDD"/>
          <w:sz w:val="20"/>
          <w:shd w:fill="E8F0FB"/>
        </w:rPr>
        <w:t>[IDENTIFICACIÓN Y PERIODO]</w:t>
      </w:r>
      <w:r>
        <w:rPr>
          <w:rFonts w:ascii="Arial" w:hAnsi="Arial"/>
          <w:color w:val="263A43"/>
          <w:sz w:val="20"/>
        </w:rPr>
        <w:t xml:space="preserve">. Motivo: </w:t>
      </w:r>
      <w:r>
        <w:rPr>
          <w:rFonts w:ascii="Arial" w:hAnsi="Arial"/>
          <w:b/>
          <w:color w:val="397CDD"/>
          <w:sz w:val="20"/>
          <w:shd w:fill="E8F0FB"/>
        </w:rPr>
        <w:t>[FINALIDAD]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Información sobre la operación de </w:t>
      </w:r>
      <w:r>
        <w:rPr>
          <w:rFonts w:ascii="Arial" w:hAnsi="Arial"/>
          <w:b/>
          <w:color w:val="397CDD"/>
          <w:sz w:val="20"/>
          <w:shd w:fill="E8F0FB"/>
        </w:rPr>
        <w:t>[FECHA E IMPORTE]</w:t>
      </w:r>
      <w:r>
        <w:rPr>
          <w:rFonts w:ascii="Arial" w:hAnsi="Arial"/>
          <w:color w:val="263A43"/>
          <w:sz w:val="20"/>
        </w:rPr>
        <w:t xml:space="preserve">: </w:t>
      </w:r>
      <w:r>
        <w:rPr>
          <w:rFonts w:ascii="Arial" w:hAnsi="Arial"/>
          <w:b/>
          <w:color w:val="397CDD"/>
          <w:sz w:val="20"/>
          <w:shd w:fill="E8F0FB"/>
        </w:rPr>
        <w:t>[JUSTIFICANTE O EXPLICACIÓN CONCRETA SOLICITADA, SIN AFIRMAR IRREGULARIDAD NO ACREDITADA]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La finalidad es disponer de una base documental compartida, aclarar discrepancias y evitar perjuicios al patrimonio y a las personas interesadas.</w:t>
      </w:r>
    </w:p>
    <w:p>
      <w:pPr>
        <w:pStyle w:val="Heading2"/>
      </w:pPr>
      <w:r>
        <w:t>SOLICITA</w:t>
      </w:r>
    </w:p>
    <w:p>
      <w:r>
        <w:rPr>
          <w:rFonts w:ascii="Arial" w:hAnsi="Arial"/>
          <w:color w:val="263A43"/>
          <w:sz w:val="20"/>
        </w:rPr>
        <w:t>1. Que facilite copia legible de los documentos relacionados o indique cuáles no están en su poder y, si lo conoce, dónde pueden obtenerse.</w:t>
      </w:r>
    </w:p>
    <w:p>
      <w:r>
        <w:rPr>
          <w:rFonts w:ascii="Arial" w:hAnsi="Arial"/>
          <w:color w:val="263A43"/>
          <w:sz w:val="20"/>
        </w:rPr>
        <w:t>2. Que informe de los ingresos, pagos o actos de gestión específicamente descritos, acompañando los justificantes disponibles y diferenciando gastos propios de gastos del patrimonio sucesorio.</w:t>
      </w:r>
    </w:p>
    <w:p>
      <w:r>
        <w:rPr>
          <w:rFonts w:ascii="Arial" w:hAnsi="Arial"/>
          <w:color w:val="263A43"/>
          <w:sz w:val="20"/>
        </w:rPr>
        <w:t>3. Que conserve los documentos originales y las fuentes relacionadas, sin perjuicio de su utilización legítima. No se solicitan contraseñas ni acceso irregular a cuentas.</w:t>
      </w:r>
    </w:p>
    <w:p>
      <w:r>
        <w:rPr>
          <w:rFonts w:ascii="Arial" w:hAnsi="Arial"/>
          <w:color w:val="263A43"/>
          <w:sz w:val="20"/>
        </w:rPr>
        <w:t xml:space="preserve">4. Que remita respuesta por </w:t>
      </w:r>
      <w:r>
        <w:rPr>
          <w:rFonts w:ascii="Arial" w:hAnsi="Arial"/>
          <w:b/>
          <w:color w:val="397CDD"/>
          <w:sz w:val="20"/>
          <w:shd w:fill="E8F0FB"/>
        </w:rPr>
        <w:t>[CANAL SEGURO]</w:t>
      </w:r>
      <w:r>
        <w:rPr>
          <w:rFonts w:ascii="Arial" w:hAnsi="Arial"/>
          <w:color w:val="263A43"/>
          <w:sz w:val="20"/>
        </w:rPr>
        <w:t xml:space="preserve">, preferentemente antes de </w:t>
      </w:r>
      <w:r>
        <w:rPr>
          <w:rFonts w:ascii="Arial" w:hAnsi="Arial"/>
          <w:b/>
          <w:color w:val="397CDD"/>
          <w:sz w:val="20"/>
          <w:shd w:fill="E8F0FB"/>
        </w:rPr>
        <w:t>[FECHA PROPUESTA]</w:t>
      </w:r>
      <w:r>
        <w:rPr>
          <w:rFonts w:ascii="Arial" w:hAnsi="Arial"/>
          <w:color w:val="263A43"/>
          <w:sz w:val="20"/>
        </w:rPr>
        <w:t>, o proponga otra fecha razonable. Se trata de una propuesta de organización, no de un plazo legal creado por esta carta.</w:t>
      </w:r>
    </w:p>
    <w:p>
      <w:pPr>
        <w:jc w:val="both"/>
      </w:pPr>
      <w:r>
        <w:rPr>
          <w:rFonts w:ascii="Arial" w:hAnsi="Arial"/>
          <w:color w:val="263A43"/>
          <w:sz w:val="20"/>
        </w:rPr>
        <w:t>Esta solicitud no aprueba cuentas, reconoce deudas, realiza adjudicaciones ni contiene una declaración nueva de aceptación o renuncia. Cualquier acuerdo posterior deberá identificar su alcance y ser revisado antes de ejecutarse.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[TÍTULO O ACREDITACIÓN NECESARIA Y RELACIÓN DE DOCUMENTOS DE REFERENCIA]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Carta respetuosa para solicitar documentos concretos sobre el patrimonio, su gestión y las operaciones posteriores al fallecimiento.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Pida hechos y documentos identificables, no formule acusaciones de apropiación sin base. El destinatario no queda obligado a una sanción o plazo legal inventado por esta carta. Este recurso no sustituye la repudiación notarial ni la declaración y el inventario necesarios para el beneficio de inventario. En Derecho común, la aceptación pura y simple puede ser expresa en documento público o privado, o tácita por los actos realizados; una cláusula de reserva no neutraliza un acto que jurídicamente implique aceptación.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Facilitar un inventario contrastado y aclarar movimientos o gastos antes de decidir o negociar la partición.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es orden judicial, rendición de cuentas aprobada, aceptación de la herencia, demanda ni MASC automáticamente suficiente.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Compruebe su posición sucesoria y la del destinatario. Si la aceptación está pendiente y existen deudas, someta el texto a revisión para no actuar inequívocamente como heredero aceptante.</w:t>
      </w:r>
    </w:p>
    <w:p>
      <w:r>
        <w:rPr>
          <w:rFonts w:ascii="Arial" w:hAnsi="Arial"/>
          <w:color w:val="263A43"/>
          <w:sz w:val="20"/>
        </w:rPr>
        <w:t>2. Individualice bienes, periodos y documentos. Explique por qué considera que obran en poder del destinatario y admita que pueda indicar otro custodio.</w:t>
      </w:r>
    </w:p>
    <w:p>
      <w:r>
        <w:rPr>
          <w:rFonts w:ascii="Arial" w:hAnsi="Arial"/>
          <w:color w:val="263A43"/>
          <w:sz w:val="20"/>
        </w:rPr>
        <w:t>3. Fije una fecha razonable de respuesta como propuesta de organización, no como plazo impuesto por la ley. Facilite un canal seguro y conserve texto y prueba de recepción.</w:t>
      </w:r>
    </w:p>
    <w:p>
      <w:r>
        <w:rPr>
          <w:rFonts w:ascii="Arial" w:hAnsi="Arial"/>
          <w:color w:val="263A43"/>
          <w:sz w:val="20"/>
        </w:rPr>
        <w:t>4. Para reclamaciones posteriores, revise prescripción, caducidad y necesidad de negociación previa. Este requerimiento no garantiza por sí solo el cumplimiento del requisito de negociación previa de la Ley Orgánica 1/2025. Antes de demandar, un abogado debe comprobar si procede MASC, identidad del objeto, acreditación, confidencialidad y efectos sobre los plazos; no hay interrupción o suspensión universal por enviar cualquier carta. Compruebe la ley sucesoria aplicable: la vecindad civil no equivale sin más al domicilio. El Código Civil común no regula de manera uniforme todas las sucesiones en España. Las especialidades civiles territoriales y las sucesiones internacionales requieren adaptación; no deduzca la ley aplicable solo de dónde está el inmueble.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Defunción, título sucesorio e identificación de los intervinientes.</w:t>
      </w:r>
    </w:p>
    <w:p>
      <w:r>
        <w:rPr>
          <w:rFonts w:ascii="Arial" w:hAnsi="Arial"/>
          <w:color w:val="263A43"/>
          <w:sz w:val="20"/>
        </w:rPr>
        <w:t>2. Inventario provisional y relación de documentos que faltan.</w:t>
      </w:r>
    </w:p>
    <w:p>
      <w:r>
        <w:rPr>
          <w:rFonts w:ascii="Arial" w:hAnsi="Arial"/>
          <w:color w:val="263A43"/>
          <w:sz w:val="20"/>
        </w:rPr>
        <w:t>3. Indicios de movimientos, gastos o custodia, con sus fuentes.</w:t>
      </w:r>
    </w:p>
    <w:p>
      <w:r>
        <w:rPr>
          <w:rFonts w:ascii="Arial" w:hAnsi="Arial"/>
          <w:color w:val="263A43"/>
          <w:sz w:val="20"/>
        </w:rPr>
        <w:t>4. Comunicaciones previas y cualquier resolución sobre administración de la herencia.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Amenazar con consecuencias penales o pérdida automática de derechos.</w:t>
      </w:r>
    </w:p>
    <w:p>
      <w:r>
        <w:rPr>
          <w:rFonts w:ascii="Arial" w:hAnsi="Arial"/>
          <w:color w:val="263A43"/>
          <w:sz w:val="20"/>
        </w:rPr>
        <w:t>2. Pedir contraseñas o credenciales del causante.</w:t>
      </w:r>
    </w:p>
    <w:p>
      <w:r>
        <w:rPr>
          <w:rFonts w:ascii="Arial" w:hAnsi="Arial"/>
          <w:color w:val="263A43"/>
          <w:sz w:val="20"/>
        </w:rPr>
        <w:t>3. Confundir plazo propuesto con plazo de una norma.</w:t>
      </w:r>
    </w:p>
    <w:p>
      <w:r>
        <w:rPr>
          <w:rFonts w:ascii="Arial" w:hAnsi="Arial"/>
          <w:color w:val="263A43"/>
          <w:sz w:val="20"/>
        </w:rPr>
        <w:t>4. Dar por acreditada una deuda, aceptación o adjudicación al pedir información.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si existe ocultación, administración controvertida, urgencia de conservación, posible apropiación o proximidad de plazos. Procurador en los procedimientos judiciales que lo exijan. Notario si se requiere acta, inventario formal u otra actuación pública.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La fecha de respuesta la propone quien remite, sin carácter de plazo legal por sí sola. No espere a esa fecha si vence un plazo judicial, sucesorio o fiscal. En el régimen general del Reglamento del ISD, el plazo sucesorio es de seis meses desde el fallecimiento y la prórroga se solicita dentro de los cinco primeros meses. Compruebe Administración competente, normativa territorial y requisitos. La negociación privada no amplía por sí sola estos plazos.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Código Civil — https://www.boe.es/buscar/act.php?id=BOE-A-1889-4763 — BOE. Arts. 9.8, 14 y 16: ley sucesoria y vecindad civil; arts. 999, 1003, 1008 y 1011-1018: aceptación, responsabilidad, repudiación e inventario. Verificación: 2026-09-13.</w:t>
      </w:r>
    </w:p>
    <w:p>
      <w:r>
        <w:rPr>
          <w:rFonts w:ascii="Arial" w:hAnsi="Arial"/>
          <w:color w:val="263A43"/>
          <w:sz w:val="20"/>
        </w:rPr>
        <w:t>2. Código Civil — https://www.boe.es/buscar/act.php?id=BOE-A-1889-4763 — BOE. Arts. 659, 661 y 1051-1059: caudal y partición; art. 1973: reclamación extrajudicial en su ámbito propio, sin efecto universal. Verificación: 2026-09-13.</w:t>
      </w:r>
    </w:p>
    <w:p>
      <w:r>
        <w:rPr>
          <w:rFonts w:ascii="Arial" w:hAnsi="Arial"/>
          <w:color w:val="263A43"/>
          <w:sz w:val="20"/>
        </w:rPr>
        <w:t>3. Ley Orgánica 1/2025, eficiencia del Servicio Público de Justicia — https://www.boe.es/eli/es/lo/2025/01/02/1/con — BOE. Arts. 5, 7, 9 y 10: procedibilidad, plazos, confidencialidad y acreditación de negociación. Verificación: 2026-09-13.</w:t>
      </w:r>
    </w:p>
    <w:p>
      <w:r>
        <w:rPr>
          <w:rFonts w:ascii="Arial" w:hAnsi="Arial"/>
          <w:color w:val="263A43"/>
          <w:sz w:val="20"/>
        </w:rPr>
        <w:t>4. Reglamento (UE) 650/2012, sucesiones internacionales — https://eur-lex.europa.eu/legal-content/ES/TXT/?uri=CELEX:32012R0650 — EUR-Lex, Unión Europea. Arts. 20-23 y 36: especialidades internacionales. Verificación: 2026-09-13.</w:t>
      </w:r>
    </w:p>
    <w:p>
      <w:r>
        <w:rPr>
          <w:rFonts w:ascii="Arial" w:hAnsi="Arial"/>
          <w:color w:val="263A43"/>
          <w:sz w:val="20"/>
        </w:rPr>
        <w:t>5. Real Decreto 1629/1991, Reglamento del Impuesto sobre Sucesiones y Donaciones — https://www.boe.es/buscar/act.php?id=BOE-A-1991-27678 — BOE. Arts. 67-68: plazos fiscales generales.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