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CIVIL Y HERENCIAS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Requerimiento de entrega de un legado</w:t>
      </w:r>
    </w:p>
    <w:p>
      <w:pPr>
        <w:jc w:val="center"/>
      </w:pPr>
      <w:r>
        <w:rPr>
          <w:rFonts w:ascii="Arial" w:hAnsi="Arial"/>
          <w:color w:val="68777D"/>
          <w:sz w:val="20"/>
        </w:rPr>
        <w:t>Carta para solicitar la entrega de un legado identificado en el testamento, dirigida a quien tenga obligación o facultad para cumplirlo.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En Derecho común, el artículo 885 CC impide al legatario ocupar por su propia autoridad la cosa legada: debe pedir la entrega a quien corresponda. Compruebe primero la ley sucesoria y la cláusula exacta. Compruebe la ley sucesoria aplicable: la vecindad civil no equivale sin más al domicilio. El Código Civil común no regula de manera uniforme todas las sucesiones en España. Las especialidades civiles territoriales y las sucesiones internacionales requieren adaptación; no deduzca la ley aplicable solo de dónde está el inmueble.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jc w:val="both"/>
      </w:pPr>
      <w:r>
        <w:rPr>
          <w:rFonts w:ascii="Arial" w:hAnsi="Arial"/>
          <w:color w:val="263A43"/>
          <w:sz w:val="20"/>
        </w:rPr>
        <w:t>Complete los campos entre corchetes. Antes de presentar una carta, elimine las indicaciones de uso y las alternativas no aplicables. Las fichas y borradores conservan su carácter preparatorio.</w:t>
      </w:r>
    </w:p>
    <w:p>
      <w:pPr>
        <w:pStyle w:val="Heading2"/>
      </w:pPr>
      <w:r>
        <w:t>A D./D.ª [PERSONA OBLIGADA A LA ENTREGA / ALBACEA CON FACULTAD SUFICIENTE]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Asunto: solicitud de entrega del legado establecido por </w:t>
      </w:r>
      <w:r>
        <w:rPr>
          <w:rFonts w:ascii="Arial" w:hAnsi="Arial"/>
          <w:b/>
          <w:color w:val="397CDD"/>
          <w:sz w:val="20"/>
          <w:shd w:fill="E8F0FB"/>
        </w:rPr>
        <w:t>[CAUSANTE]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 DEL LEGATARIO]</w:t>
      </w:r>
      <w:r>
        <w:rPr>
          <w:rFonts w:ascii="Arial" w:hAnsi="Arial"/>
          <w:color w:val="263A43"/>
          <w:sz w:val="20"/>
        </w:rPr>
        <w:t xml:space="preserve">, con </w:t>
      </w:r>
      <w:r>
        <w:rPr>
          <w:rFonts w:ascii="Arial" w:hAnsi="Arial"/>
          <w:b/>
          <w:color w:val="397CDD"/>
          <w:sz w:val="20"/>
          <w:shd w:fill="E8F0FB"/>
        </w:rPr>
        <w:t>[IDENTIFICACIÓN]</w:t>
      </w:r>
      <w:r>
        <w:rPr>
          <w:rFonts w:ascii="Arial" w:hAnsi="Arial"/>
          <w:color w:val="263A43"/>
          <w:sz w:val="20"/>
        </w:rPr>
        <w:t xml:space="preserve"> y contacto </w:t>
      </w:r>
      <w:r>
        <w:rPr>
          <w:rFonts w:ascii="Arial" w:hAnsi="Arial"/>
          <w:b/>
          <w:color w:val="397CDD"/>
          <w:sz w:val="20"/>
          <w:shd w:fill="E8F0FB"/>
        </w:rPr>
        <w:t>[DOMICILIO Y MEDIO SEGURO]</w:t>
      </w:r>
      <w:r>
        <w:rPr>
          <w:rFonts w:ascii="Arial" w:hAnsi="Arial"/>
          <w:color w:val="263A43"/>
          <w:sz w:val="20"/>
        </w:rPr>
        <w:t>, respetuosamente,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D./D.ª </w:t>
      </w:r>
      <w:r>
        <w:rPr>
          <w:rFonts w:ascii="Arial" w:hAnsi="Arial"/>
          <w:b/>
          <w:color w:val="397CDD"/>
          <w:sz w:val="20"/>
          <w:shd w:fill="E8F0FB"/>
        </w:rPr>
        <w:t>[CAUSANTE]</w:t>
      </w:r>
      <w:r>
        <w:rPr>
          <w:rFonts w:ascii="Arial" w:hAnsi="Arial"/>
          <w:color w:val="263A43"/>
          <w:sz w:val="20"/>
        </w:rPr>
        <w:t xml:space="preserve"> falleció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Según el certificado de últimas voluntades, otorgó el testamento relevante ante </w:t>
      </w:r>
      <w:r>
        <w:rPr>
          <w:rFonts w:ascii="Arial" w:hAnsi="Arial"/>
          <w:b/>
          <w:color w:val="397CDD"/>
          <w:sz w:val="20"/>
          <w:shd w:fill="E8F0FB"/>
        </w:rPr>
        <w:t>[NOTARIO]</w:t>
      </w:r>
      <w:r>
        <w:rPr>
          <w:rFonts w:ascii="Arial" w:hAnsi="Arial"/>
          <w:color w:val="263A43"/>
          <w:sz w:val="20"/>
        </w:rPr>
        <w:t xml:space="preserve">,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, con protocolo </w:t>
      </w:r>
      <w:r>
        <w:rPr>
          <w:rFonts w:ascii="Arial" w:hAnsi="Arial"/>
          <w:b/>
          <w:color w:val="397CDD"/>
          <w:sz w:val="20"/>
          <w:shd w:fill="E8F0FB"/>
        </w:rPr>
        <w:t>[NÚMERO]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La cláusula </w:t>
      </w:r>
      <w:r>
        <w:rPr>
          <w:rFonts w:ascii="Arial" w:hAnsi="Arial"/>
          <w:b/>
          <w:color w:val="397CDD"/>
          <w:sz w:val="20"/>
          <w:shd w:fill="E8F0FB"/>
        </w:rPr>
        <w:t>[NÚMERO]</w:t>
      </w:r>
      <w:r>
        <w:rPr>
          <w:rFonts w:ascii="Arial" w:hAnsi="Arial"/>
          <w:color w:val="263A43"/>
          <w:sz w:val="20"/>
        </w:rPr>
        <w:t xml:space="preserve"> establece a mi favor </w:t>
      </w:r>
      <w:r>
        <w:rPr>
          <w:rFonts w:ascii="Arial" w:hAnsi="Arial"/>
          <w:b/>
          <w:color w:val="397CDD"/>
          <w:sz w:val="20"/>
          <w:shd w:fill="E8F0FB"/>
        </w:rPr>
        <w:t>[DESCRIPCIÓN FIEL DEL LEGADO; ADJUNTAR COPIA DE LA CLÁUSULA Y NO INVENTAR SU TENOR]</w:t>
      </w:r>
      <w:r>
        <w:rPr>
          <w:rFonts w:ascii="Arial" w:hAnsi="Arial"/>
          <w:color w:val="263A43"/>
          <w:sz w:val="20"/>
        </w:rPr>
        <w:t xml:space="preserve">. El bien o prestación se identifica como </w:t>
      </w:r>
      <w:r>
        <w:rPr>
          <w:rFonts w:ascii="Arial" w:hAnsi="Arial"/>
          <w:b/>
          <w:color w:val="397CDD"/>
          <w:sz w:val="20"/>
          <w:shd w:fill="E8F0FB"/>
        </w:rPr>
        <w:t>[DESCRIPCIÓN, IMPORTE O DATOS REGISTRALES, SEGÚN PROCEDA]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La obligación o facultad de entrega que motiva dirigirme a usted resulta de </w:t>
      </w:r>
      <w:r>
        <w:rPr>
          <w:rFonts w:ascii="Arial" w:hAnsi="Arial"/>
          <w:b/>
          <w:color w:val="397CDD"/>
          <w:sz w:val="20"/>
          <w:shd w:fill="E8F0FB"/>
        </w:rPr>
        <w:t>[CLÁUSULA, CONDICIÓN DE HEREDERO GRAVADO O FACULTAD DEL ALBACEA, PREVIAMENTE COMPROBADA]</w:t>
      </w:r>
      <w:r>
        <w:rPr>
          <w:rFonts w:ascii="Arial" w:hAnsi="Arial"/>
          <w:color w:val="263A43"/>
          <w:sz w:val="20"/>
        </w:rPr>
        <w:t xml:space="preserve">. Las condiciones o términos relevantes son </w:t>
      </w:r>
      <w:r>
        <w:rPr>
          <w:rFonts w:ascii="Arial" w:hAnsi="Arial"/>
          <w:b/>
          <w:color w:val="397CDD"/>
          <w:sz w:val="20"/>
          <w:shd w:fill="E8F0FB"/>
        </w:rPr>
        <w:t>[RELACIÓN / NO CONSTAN EN LA CLÁUSULA]</w:t>
      </w:r>
      <w:r>
        <w:rPr>
          <w:rFonts w:ascii="Arial" w:hAnsi="Arial"/>
          <w:color w:val="263A43"/>
          <w:sz w:val="20"/>
        </w:rPr>
        <w:t xml:space="preserve">, y su situación acreditada es </w:t>
      </w:r>
      <w:r>
        <w:rPr>
          <w:rFonts w:ascii="Arial" w:hAnsi="Arial"/>
          <w:b/>
          <w:color w:val="397CDD"/>
          <w:sz w:val="20"/>
          <w:shd w:fill="E8F0FB"/>
        </w:rPr>
        <w:t>[DETALLE]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Cuarto. A fecha de este escrito no se ha realizado la entrega documentada de </w:t>
      </w:r>
      <w:r>
        <w:rPr>
          <w:rFonts w:ascii="Arial" w:hAnsi="Arial"/>
          <w:b/>
          <w:color w:val="397CDD"/>
          <w:sz w:val="20"/>
          <w:shd w:fill="E8F0FB"/>
        </w:rPr>
        <w:t>[OBJETO PENDIENTE]</w:t>
      </w:r>
      <w:r>
        <w:rPr>
          <w:rFonts w:ascii="Arial" w:hAnsi="Arial"/>
          <w:color w:val="263A43"/>
          <w:sz w:val="20"/>
        </w:rPr>
        <w:t xml:space="preserve">, según </w:t>
      </w:r>
      <w:r>
        <w:rPr>
          <w:rFonts w:ascii="Arial" w:hAnsi="Arial"/>
          <w:b/>
          <w:color w:val="397CDD"/>
          <w:sz w:val="20"/>
          <w:shd w:fill="E8F0FB"/>
        </w:rPr>
        <w:t>[ANTECEDENTES Y COMUNICACIONES]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SOLICITA</w:t>
      </w:r>
    </w:p>
    <w:p>
      <w:r>
        <w:rPr>
          <w:rFonts w:ascii="Arial" w:hAnsi="Arial"/>
          <w:color w:val="263A43"/>
          <w:sz w:val="20"/>
        </w:rPr>
        <w:t>1. Que se proceda a preparar la entrega y posesión del legado identificado, con las comprobaciones y formalización que legalmente correspondan y sin perjuicio de los derechos preferentes que deban respetarse.</w:t>
      </w:r>
    </w:p>
    <w:p>
      <w:r>
        <w:rPr>
          <w:rFonts w:ascii="Arial" w:hAnsi="Arial"/>
          <w:color w:val="263A43"/>
          <w:sz w:val="20"/>
        </w:rPr>
        <w:t xml:space="preserve">2. Que proponga fecha y modo de entrega por </w:t>
      </w:r>
      <w:r>
        <w:rPr>
          <w:rFonts w:ascii="Arial" w:hAnsi="Arial"/>
          <w:b/>
          <w:color w:val="397CDD"/>
          <w:sz w:val="20"/>
          <w:shd w:fill="E8F0FB"/>
        </w:rPr>
        <w:t>[CANAL]</w:t>
      </w:r>
      <w:r>
        <w:rPr>
          <w:rFonts w:ascii="Arial" w:hAnsi="Arial"/>
          <w:color w:val="263A43"/>
          <w:sz w:val="20"/>
        </w:rPr>
        <w:t xml:space="preserve">, preferentemente antes de </w:t>
      </w:r>
      <w:r>
        <w:rPr>
          <w:rFonts w:ascii="Arial" w:hAnsi="Arial"/>
          <w:b/>
          <w:color w:val="397CDD"/>
          <w:sz w:val="20"/>
          <w:shd w:fill="E8F0FB"/>
        </w:rPr>
        <w:t>[FECHA RAZONABLE PROPUESTA]</w:t>
      </w:r>
      <w:r>
        <w:rPr>
          <w:rFonts w:ascii="Arial" w:hAnsi="Arial"/>
          <w:color w:val="263A43"/>
          <w:sz w:val="20"/>
        </w:rPr>
        <w:t>, o indique documentalmente el obstáculo concreto que impide realizarla y la actuación necesaria para resolverlo.</w:t>
      </w:r>
    </w:p>
    <w:p>
      <w:r>
        <w:rPr>
          <w:rFonts w:ascii="Arial" w:hAnsi="Arial"/>
          <w:color w:val="263A43"/>
          <w:sz w:val="20"/>
        </w:rPr>
        <w:t xml:space="preserve">3. Si se trata de un inmueble u otro derecho que requiera formalización, que se coordine la documentación y comparecencia ante </w:t>
      </w:r>
      <w:r>
        <w:rPr>
          <w:rFonts w:ascii="Arial" w:hAnsi="Arial"/>
          <w:b/>
          <w:color w:val="397CDD"/>
          <w:sz w:val="20"/>
          <w:shd w:fill="E8F0FB"/>
        </w:rPr>
        <w:t>[NOTARÍA A ACORDAR]</w:t>
      </w:r>
      <w:r>
        <w:rPr>
          <w:rFonts w:ascii="Arial" w:hAnsi="Arial"/>
          <w:color w:val="263A43"/>
          <w:sz w:val="20"/>
        </w:rPr>
        <w:t>, sin sustituirla por esta carta.</w:t>
      </w:r>
    </w:p>
    <w:p>
      <w:r>
        <w:rPr>
          <w:rFonts w:ascii="Arial" w:hAnsi="Arial"/>
          <w:color w:val="263A43"/>
          <w:sz w:val="20"/>
        </w:rPr>
        <w:t>4. Que se facilite, en lo necesario para la entrega, información sobre situación posesoria, documentación y cargas del bien, así como sobre eventuales incidencias que afecten al cumplimiento del legado.</w:t>
      </w:r>
    </w:p>
    <w:p>
      <w:pPr>
        <w:jc w:val="both"/>
      </w:pPr>
      <w:r>
        <w:rPr>
          <w:rFonts w:ascii="Arial" w:hAnsi="Arial"/>
          <w:color w:val="263A43"/>
          <w:sz w:val="20"/>
        </w:rPr>
        <w:t>Esta solicitud no implica conformidad con una liquidación no comprobada, renuncia a diferencias ni autorización de compensaciones ajenas al título. No se pretende tomar posesión por propia autoridad ni alterar los derechos de terceros.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Anexos: </w:t>
      </w:r>
      <w:r>
        <w:rPr>
          <w:rFonts w:ascii="Arial" w:hAnsi="Arial"/>
          <w:b/>
          <w:color w:val="397CDD"/>
          <w:sz w:val="20"/>
          <w:shd w:fill="E8F0FB"/>
        </w:rPr>
        <w:t>[DEFUNCIÓN, ÚLTIMAS VOLUNTADES, CLÁUSULA TESTAMENTARIA, IDENTIFICACIÓN Y DOCUMENTOS RELEVANTES]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Firma: </w:t>
      </w:r>
      <w:r>
        <w:rPr>
          <w:rFonts w:ascii="Arial" w:hAnsi="Arial"/>
          <w:b/>
          <w:color w:val="397CDD"/>
          <w:sz w:val="20"/>
          <w:shd w:fill="E8F0FB"/>
        </w:rPr>
        <w:t>[NOMBRE Y APELLIDOS]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jc w:val="both"/>
      </w:pPr>
      <w:r>
        <w:rPr>
          <w:rFonts w:ascii="Arial" w:hAnsi="Arial"/>
          <w:color w:val="263A43"/>
          <w:sz w:val="20"/>
        </w:rPr>
        <w:t>Carta para solicitar la entrega de un legado identificado en el testamento, dirigida a quien tenga obligación o facultad para cumplirlo.</w:t>
      </w:r>
    </w:p>
    <w:p>
      <w:pPr>
        <w:pStyle w:val="Heading1"/>
      </w:pPr>
      <w:r>
        <w:t>Advertencia principal</w:t>
      </w:r>
    </w:p>
    <w:p>
      <w:pPr>
        <w:jc w:val="both"/>
      </w:pPr>
      <w:r>
        <w:rPr>
          <w:rFonts w:ascii="Arial" w:hAnsi="Arial"/>
          <w:color w:val="263A43"/>
          <w:sz w:val="20"/>
        </w:rPr>
        <w:t>En Derecho común, el artículo 885 CC impide al legatario ocupar por su propia autoridad la cosa legada: debe pedir la entrega a quien corresponda. Compruebe primero la ley sucesoria y la cláusula exacta. Compruebe la ley sucesoria aplicable: la vecindad civil no equivale sin más al domicilio. El Código Civil común no regula de manera uniforme todas las sucesiones en España. Las especialidades civiles territoriales y las sucesiones internacionales requieren adaptación; no deduzca la ley aplicable solo de dónde está el inmueble.</w:t>
      </w:r>
    </w:p>
    <w:p>
      <w:pPr>
        <w:pStyle w:val="Heading1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Pedir una entrega documentada, conocer los obstáculos invocados y proponer su formalización sin tomar el bien por cuenta propia.</w:t>
      </w:r>
    </w:p>
    <w:p>
      <w:pPr>
        <w:pStyle w:val="Heading1"/>
      </w:pPr>
      <w:r>
        <w:t>Para qué no sirve</w:t>
      </w:r>
    </w:p>
    <w:p>
      <w:pPr>
        <w:jc w:val="both"/>
      </w:pPr>
      <w:r>
        <w:rPr>
          <w:rFonts w:ascii="Arial" w:hAnsi="Arial"/>
          <w:color w:val="263A43"/>
          <w:sz w:val="20"/>
        </w:rPr>
        <w:t>No sustituye la escritura o actuación exigible, no autoriza ocupar el bien y no resuelve reducciones, ineficacia del legado o derechos preferentes.</w:t>
      </w:r>
    </w:p>
    <w:p>
      <w:pPr>
        <w:pStyle w:val="Heading1"/>
      </w:pPr>
      <w:r>
        <w:t>Instrucciones de uso</w:t>
      </w:r>
    </w:p>
    <w:p>
      <w:r>
        <w:rPr>
          <w:rFonts w:ascii="Arial" w:hAnsi="Arial"/>
          <w:color w:val="263A43"/>
          <w:sz w:val="20"/>
        </w:rPr>
        <w:t>1. Revise una copia autorizada del testamento y el certificado de últimas voluntades. Identifique el legado, condiciones, términos y persona gravada; no basta un recuerdo familiar de la voluntad del causante.</w:t>
      </w:r>
    </w:p>
    <w:p>
      <w:r>
        <w:rPr>
          <w:rFonts w:ascii="Arial" w:hAnsi="Arial"/>
          <w:color w:val="263A43"/>
          <w:sz w:val="20"/>
        </w:rPr>
        <w:t>2. Dirija el requerimiento a quien deba cumplirlo, o al albacea con facultad de entrega. La existencia de deudas, legítimas o falta de bienes puede requerir revisar o reducir el legado.</w:t>
      </w:r>
    </w:p>
    <w:p>
      <w:r>
        <w:rPr>
          <w:rFonts w:ascii="Arial" w:hAnsi="Arial"/>
          <w:color w:val="263A43"/>
          <w:sz w:val="20"/>
        </w:rPr>
        <w:t>3. Describa el bien o cantidad sin alterar el testamento. Para inmuebles, compruebe titularidad y cargas, y proponga cita notarial cuando proceda.</w:t>
      </w:r>
    </w:p>
    <w:p>
      <w:r>
        <w:rPr>
          <w:rFonts w:ascii="Arial" w:hAnsi="Arial"/>
          <w:color w:val="263A43"/>
          <w:sz w:val="20"/>
        </w:rPr>
        <w:t>4. Conserve prueba del texto y recepción. No entre en una vivienda, retire dinero o se lleve objetos sin título y entrega legítimos. Este requerimiento no garantiza por sí solo el cumplimiento del requisito de negociación previa de la Ley Orgánica 1/2025. Antes de demandar, un abogado debe comprobar si procede MASC, identidad del objeto, acreditación, confidencialidad y efectos sobre los plazos; no hay interrupción o suspensión universal por enviar cualquier carta.</w:t>
      </w:r>
    </w:p>
    <w:p>
      <w:pPr>
        <w:pStyle w:val="Heading1"/>
      </w:pPr>
      <w:r>
        <w:t>Documentos que debe reunir</w:t>
      </w:r>
    </w:p>
    <w:p>
      <w:r>
        <w:rPr>
          <w:rFonts w:ascii="Arial" w:hAnsi="Arial"/>
          <w:color w:val="263A43"/>
          <w:sz w:val="20"/>
        </w:rPr>
        <w:t>1. Defunción, últimas voluntades y copia autorizada del testamento.</w:t>
      </w:r>
    </w:p>
    <w:p>
      <w:r>
        <w:rPr>
          <w:rFonts w:ascii="Arial" w:hAnsi="Arial"/>
          <w:color w:val="263A43"/>
          <w:sz w:val="20"/>
        </w:rPr>
        <w:t>2. Identificación del legatario y del obligado o albacea, con sus facultades.</w:t>
      </w:r>
    </w:p>
    <w:p>
      <w:r>
        <w:rPr>
          <w:rFonts w:ascii="Arial" w:hAnsi="Arial"/>
          <w:color w:val="263A43"/>
          <w:sz w:val="20"/>
        </w:rPr>
        <w:t>3. Título, descripción registral o identificación precisa del bien.</w:t>
      </w:r>
    </w:p>
    <w:p>
      <w:r>
        <w:rPr>
          <w:rFonts w:ascii="Arial" w:hAnsi="Arial"/>
          <w:color w:val="263A43"/>
          <w:sz w:val="20"/>
        </w:rPr>
        <w:t>4. Prueba del cumplimiento de condiciones y comunicaciones previas, si existen.</w:t>
      </w:r>
    </w:p>
    <w:p>
      <w:pPr>
        <w:pStyle w:val="Heading1"/>
      </w:pPr>
      <w:r>
        <w:t>Errores que debe evitar</w:t>
      </w:r>
    </w:p>
    <w:p>
      <w:r>
        <w:rPr>
          <w:rFonts w:ascii="Arial" w:hAnsi="Arial"/>
          <w:color w:val="263A43"/>
          <w:sz w:val="20"/>
        </w:rPr>
        <w:t>1. Tomar posesión unilateral porque el testamento menciona el bien.</w:t>
      </w:r>
    </w:p>
    <w:p>
      <w:r>
        <w:rPr>
          <w:rFonts w:ascii="Arial" w:hAnsi="Arial"/>
          <w:color w:val="263A43"/>
          <w:sz w:val="20"/>
        </w:rPr>
        <w:t>2. Reclamar intereses automáticos desde el fallecimiento sin distinguir clase de legado y disposiciones aplicables.</w:t>
      </w:r>
    </w:p>
    <w:p>
      <w:r>
        <w:rPr>
          <w:rFonts w:ascii="Arial" w:hAnsi="Arial"/>
          <w:color w:val="263A43"/>
          <w:sz w:val="20"/>
        </w:rPr>
        <w:t>3. Ignorar legítimas, acreedores o condiciones del testamento.</w:t>
      </w:r>
    </w:p>
    <w:p>
      <w:r>
        <w:rPr>
          <w:rFonts w:ascii="Arial" w:hAnsi="Arial"/>
          <w:color w:val="263A43"/>
          <w:sz w:val="20"/>
        </w:rPr>
        <w:t>4. Firmar un recibí general antes de comprobar la entrega, cargas y alcance.</w:t>
      </w:r>
    </w:p>
    <w:p>
      <w:pPr>
        <w:pStyle w:val="Heading1"/>
      </w:pPr>
      <w:r>
        <w:t>Cuándo acudir a un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Abogado si se discuten validez, condiciones, persona obligada, reducción, titularidad o prescripción. Notario en la entrega y formalización inmobiliaria que corresponda; el procurador intervendrá en el procedimiento judicial que lo requiera.</w:t>
      </w:r>
    </w:p>
    <w:p>
      <w:pPr>
        <w:pStyle w:val="Heading1"/>
      </w:pPr>
      <w:r>
        <w:t>Plazos y presentación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No existe un plazo único de entrega o reclamación aplicable a todos los legados. La fecha propuesta en la carta no se presenta como plazo legal. Revise términos del testamento y plazos de la acción; no espere al reparto para comprobar obligaciones fiscales. En el régimen general del Reglamento del ISD, el plazo sucesorio es de seis meses desde el fallecimiento y la prórroga se solicita dentro de los cinco primeros meses. Compruebe Administración competente, normativa territorial y requisitos. La negociación privada no amplía por sí sola estos plazos.</w:t>
      </w:r>
    </w:p>
    <w:p>
      <w:pPr>
        <w:pStyle w:val="Heading1"/>
      </w:pPr>
      <w:r>
        <w:t>Fuentes oficiales verificadas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documental y normativa a 13/09/2026. No equivale a revisión de un caso concreto ni a formulario oficial aprobado por una Administración.</w:t>
      </w:r>
    </w:p>
    <w:p>
      <w:r>
        <w:rPr>
          <w:rFonts w:ascii="Arial" w:hAnsi="Arial"/>
          <w:color w:val="263A43"/>
          <w:sz w:val="20"/>
        </w:rPr>
        <w:t>1. Código Civil — https://www.boe.es/buscar/act.php?id=BOE-A-1889-4763 — BOE. Arts. 858-859 y 881-887: obligados, adquisición, entrega, frutos, gastos y concurrencia de legados; arts. 9.8, 14 y 16: ley aplicable. Verificación: 2026-09-13.</w:t>
      </w:r>
    </w:p>
    <w:p>
      <w:r>
        <w:rPr>
          <w:rFonts w:ascii="Arial" w:hAnsi="Arial"/>
          <w:color w:val="263A43"/>
          <w:sz w:val="20"/>
        </w:rPr>
        <w:t>2. Ley Orgánica 1/2025, eficiencia del Servicio Público de Justicia — https://www.boe.es/eli/es/lo/2025/01/02/1/con — BOE. Arts. 5, 7, 9 y 10: negociación previa, plazos y acreditación. Verificación: 2026-09-13.</w:t>
      </w:r>
    </w:p>
    <w:p>
      <w:r>
        <w:rPr>
          <w:rFonts w:ascii="Arial" w:hAnsi="Arial"/>
          <w:color w:val="263A43"/>
          <w:sz w:val="20"/>
        </w:rPr>
        <w:t>3. Ley Hipotecaria — https://www.boe.es/buscar/act.php?id=BOE-A-1946-2453 — BOE. Arts. 3 y 14: formalización e inscripción en el ámbito sucesorio. Verificación: 2026-09-13.</w:t>
      </w:r>
    </w:p>
    <w:p>
      <w:r>
        <w:rPr>
          <w:rFonts w:ascii="Arial" w:hAnsi="Arial"/>
          <w:color w:val="263A43"/>
          <w:sz w:val="20"/>
        </w:rPr>
        <w:t>4. Reglamento (UE) 650/2012, sucesiones internacionales — https://eur-lex.europa.eu/legal-content/ES/TXT/?uri=CELEX:32012R0650 — EUR-Lex, Unión Europea. Arts. 20-23 y 36: sucesiones internacionales. Verificación: 2026-09-13.</w:t>
      </w:r>
    </w:p>
    <w:p>
      <w:r>
        <w:rPr>
          <w:rFonts w:ascii="Arial" w:hAnsi="Arial"/>
          <w:color w:val="263A43"/>
          <w:sz w:val="20"/>
        </w:rPr>
        <w:t>5. Real Decreto 1629/1991, Reglamento del Impuesto sobre Sucesiones y Donaciones — https://www.boe.es/buscar/act.php?id=BOE-A-1991-27678 — BOE. Arts. 67-68: plazos generales. Verificación: 2026-09-13.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