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widowControl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42"/>
          <w:b/>
          <w:color w:val="000000"/>
        </w:rPr>
        <w:t xml:space="preserve">Registro de retirada o recuperación de un producto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  <w:color w:val="263A43"/>
        </w:rPr>
        <w:t xml:space="preserve">INCIDENTE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[ID]</w:t>
      </w:r>
      <w:r>
        <w:rPr>
          <w:rFonts w:ascii="Liberation Sans" w:hAnsi="Liberation Sans" w:eastAsia="Liberation Sans"/>
          <w:sz w:val="21"/>
          <w:color w:val="263A43"/>
        </w:rPr>
        <w:t xml:space="preserve"> · Versión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[NÚMERO]</w:t>
      </w:r>
      <w:r>
        <w:rPr>
          <w:rFonts w:ascii="Liberation Sans" w:hAnsi="Liberation Sans" w:eastAsia="Liberation Sans"/>
          <w:sz w:val="21"/>
          <w:color w:val="263A43"/>
        </w:rPr>
        <w:t xml:space="preserve"> · Preparado por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[PERSONA Y FUNCIÓN]</w:t>
      </w:r>
      <w:r>
        <w:rPr>
          <w:rFonts w:ascii="Liberation Sans" w:hAnsi="Liberation Sans" w:eastAsia="Liberation Sans"/>
          <w:sz w:val="21"/>
          <w:color w:val="263A43"/>
        </w:rPr>
        <w:t xml:space="preserve"> · Fecha y hora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[DATOS]</w:t>
      </w:r>
    </w:p>
    <w:p>
      <w:pPr>
        <w:pStyle w:val="Heading2"/>
        <w:keepNext/>
        <w:keepLines/>
        <w:widowControl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Producto, lote y rol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  <w:color w:val="263A43"/>
        </w:rPr>
        <w:t xml:space="preserve">Nombre y marca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[DATOS]</w:t>
      </w:r>
      <w:r>
        <w:rPr>
          <w:rFonts w:ascii="Liberation Sans" w:hAnsi="Liberation Sans" w:eastAsia="Liberation Sans"/>
          <w:sz w:val="21"/>
          <w:color w:val="263A43"/>
        </w:rPr>
        <w:t xml:space="preserve">. Modelo, lote o serie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[IDENTIFICADORES]</w:t>
      </w:r>
      <w:r>
        <w:rPr>
          <w:rFonts w:ascii="Liberation Sans" w:hAnsi="Liberation Sans" w:eastAsia="Liberation Sans"/>
          <w:sz w:val="21"/>
          <w:color w:val="263A43"/>
        </w:rPr>
        <w:t xml:space="preserve">. Imagen, etiqueta, ficha y documentación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[REFERENCIAS]</w:t>
      </w:r>
      <w:r>
        <w:rPr>
          <w:rFonts w:ascii="Liberation Sans" w:hAnsi="Liberation Sans" w:eastAsia="Liberation Sans"/>
          <w:sz w:val="21"/>
          <w:color w:val="263A43"/>
        </w:rPr>
        <w:t xml:space="preserve">. Fabricante, importador, distribuidor y plataforma implicados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[ENTIDADES Y CONTACTOS PERTINENTES]</w:t>
      </w:r>
      <w:r>
        <w:rPr>
          <w:rFonts w:ascii="Liberation Sans" w:hAnsi="Liberation Sans" w:eastAsia="Liberation Sans"/>
          <w:sz w:val="21"/>
          <w:color w:val="263A43"/>
        </w:rPr>
        <w:t xml:space="preserve">.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  <w:color w:val="263A43"/>
        </w:rPr>
        <w:t xml:space="preserve">Nuestro rol por producto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[FABRICANTE / IMPORTADOR / DISTRIBUIDOR / OTRO POR PRECISAR]</w:t>
      </w:r>
      <w:r>
        <w:rPr>
          <w:rFonts w:ascii="Liberation Sans" w:hAnsi="Liberation Sans" w:eastAsia="Liberation Sans"/>
          <w:sz w:val="21"/>
          <w:color w:val="263A43"/>
        </w:rPr>
        <w:t xml:space="preserve">. Persona que coordina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[DATOS]</w:t>
      </w:r>
      <w:r>
        <w:rPr>
          <w:rFonts w:ascii="Liberation Sans" w:hAnsi="Liberation Sans" w:eastAsia="Liberation Sans"/>
          <w:sz w:val="21"/>
          <w:color w:val="263A43"/>
        </w:rPr>
        <w:t xml:space="preserve">. Norma general o sectorial que se ha identificado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[NORMA, ÁMBITO Y PUNTOS PENDIENTES]</w:t>
      </w:r>
      <w:r>
        <w:rPr>
          <w:rFonts w:ascii="Liberation Sans" w:hAnsi="Liberation Sans" w:eastAsia="Liberation Sans"/>
          <w:sz w:val="21"/>
          <w:color w:val="263A43"/>
        </w:rPr>
        <w:t xml:space="preserve">. Países y canales de comercialización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[DATOS]</w:t>
      </w:r>
      <w:r>
        <w:rPr>
          <w:rFonts w:ascii="Liberation Sans" w:hAnsi="Liberation Sans" w:eastAsia="Liberation Sans"/>
          <w:sz w:val="21"/>
          <w:color w:val="263A43"/>
        </w:rPr>
        <w:t xml:space="preserve">. Fechas pertinentes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[INTRODUCCIÓN / VENTAS / AVISO]</w:t>
      </w:r>
      <w:r>
        <w:rPr>
          <w:rFonts w:ascii="Liberation Sans" w:hAnsi="Liberation Sans" w:eastAsia="Liberation Sans"/>
          <w:sz w:val="21"/>
          <w:color w:val="263A43"/>
        </w:rPr>
        <w:t xml:space="preserve">.</w:t>
      </w:r>
    </w:p>
    <w:p>
      <w:pPr>
        <w:pStyle w:val="Heading2"/>
        <w:keepNext/>
        <w:keepLines/>
        <w:widowControl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Hechos y riesgo por examinar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  <w:color w:val="263A43"/>
        </w:rPr>
        <w:t xml:space="preserve">Información recibida y fecha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[QUIÉN COMUNICA, QUÉ OBSERVÓ Y DOCUMENTO]</w:t>
      </w:r>
      <w:r>
        <w:rPr>
          <w:rFonts w:ascii="Liberation Sans" w:hAnsi="Liberation Sans" w:eastAsia="Liberation Sans"/>
          <w:sz w:val="21"/>
          <w:color w:val="263A43"/>
        </w:rPr>
        <w:t xml:space="preserve">. Hechos comprobados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[DATOS Y FUENTE]</w:t>
      </w:r>
      <w:r>
        <w:rPr>
          <w:rFonts w:ascii="Liberation Sans" w:hAnsi="Liberation Sans" w:eastAsia="Liberation Sans"/>
          <w:sz w:val="21"/>
          <w:color w:val="263A43"/>
        </w:rPr>
        <w:t xml:space="preserve">. Hipótesis, evaluación técnica y límites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[INFORME O COMPROBACIÓN PENDIENTE]</w:t>
      </w:r>
      <w:r>
        <w:rPr>
          <w:rFonts w:ascii="Liberation Sans" w:hAnsi="Liberation Sans" w:eastAsia="Liberation Sans"/>
          <w:sz w:val="21"/>
          <w:color w:val="263A43"/>
        </w:rPr>
        <w:t xml:space="preserve">. Instrucciones u orden de autoridad, si existe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[EMISOR, REFERENCIA, FECHA Y ALCANCE]</w:t>
      </w:r>
      <w:r>
        <w:rPr>
          <w:rFonts w:ascii="Liberation Sans" w:hAnsi="Liberation Sans" w:eastAsia="Liberation Sans"/>
          <w:sz w:val="21"/>
          <w:color w:val="263A43"/>
        </w:rPr>
        <w:t xml:space="preserve">.</w:t>
      </w:r>
    </w:p>
    <w:tbl>
      <w:tblPr>
        <w:tblW w:w="9500" w:type="dxa"/>
        <w:tblLayout w:type="fixed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90" w:type="dxa"/>
          <w:bottom w:w="90" w:type="dxa"/>
          <w:left w:w="105" w:type="dxa"/>
          <w:right w:w="105" w:type="dxa"/>
        </w:tblCellMar>
      </w:tblPr>
      <w:tblGrid>
        <w:gridCol w:w="4750"/>
        <w:gridCol w:w="4750"/>
      </w:tblGrid>
      <w:tr>
        <w:trPr>
          <w:cantSplit/>
          <w:tblHeader/>
        </w:trPr>
        <w:tc>
          <w:tcPr>
            <w:tcW w:w="4750" w:type="dxa"/>
            <w:vAlign w:val="center"/>
            <w:shd w:fill="1A354D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color w:val="FFFFFF"/>
                <w:b/>
              </w:rPr>
              <w:t xml:space="preserve">Decisión o medida</w:t>
            </w:r>
          </w:p>
        </w:tc>
        <w:tc>
          <w:tcPr>
            <w:tcW w:w="4750" w:type="dxa"/>
            <w:vAlign w:val="center"/>
            <w:shd w:fill="1A354D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color w:val="FFFFFF"/>
                <w:b/>
              </w:rPr>
              <w:t xml:space="preserve">Fecha, responsable y prueba</w:t>
            </w:r>
          </w:p>
        </w:tc>
      </w:tr>
      <w:tr>
        <w:trPr>
          <w:cantSplit/>
        </w:trPr>
        <w:tc>
          <w:tcPr>
            <w:tcW w:w="4750" w:type="dxa"/>
            <w:vAlign w:val="center"/>
            <w:shd w:fill="FFFFFF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 xml:space="preserve">[PARADA DE VENTA / AISLAMIENTO / OTRA MEDIDA]</w:t>
            </w:r>
          </w:p>
        </w:tc>
        <w:tc>
          <w:tcPr>
            <w:tcW w:w="4750" w:type="dxa"/>
            <w:vAlign w:val="center"/>
            <w:shd w:fill="FFFFFF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 xml:space="preserve">[FECHA Y HORA; PERSONA; DOCUMENTO]</w:t>
            </w:r>
          </w:p>
        </w:tc>
      </w:tr>
      <w:tr>
        <w:trPr>
          <w:cantSplit/>
        </w:trPr>
        <w:tc>
          <w:tcPr>
            <w:tcW w:w="4750" w:type="dxa"/>
            <w:vAlign w:val="center"/>
            <w:shd w:fill="F6F8FA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 xml:space="preserve">[ALCANCE: PRODUCTOS, LOTES Y CANALES]</w:t>
            </w:r>
          </w:p>
        </w:tc>
        <w:tc>
          <w:tcPr>
            <w:tcW w:w="4750" w:type="dxa"/>
            <w:vAlign w:val="center"/>
            <w:shd w:fill="F6F8FA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 xml:space="preserve">[BASE DISPONIBLE Y LO QUE FALTA]</w:t>
            </w:r>
          </w:p>
        </w:tc>
      </w:tr>
    </w:tbl>
    <w:p>
      <w:pPr>
        <w:pStyle w:val="Heading2"/>
        <w:keepNext/>
        <w:keepLines/>
        <w:widowControl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Comunicaciones y actuaciones</w:t>
      </w:r>
    </w:p>
    <w:tbl>
      <w:tblPr>
        <w:tblW w:w="9500" w:type="dxa"/>
        <w:tblLayout w:type="fixed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90" w:type="dxa"/>
          <w:bottom w:w="90" w:type="dxa"/>
          <w:left w:w="105" w:type="dxa"/>
          <w:right w:w="105" w:type="dxa"/>
        </w:tblCellMar>
      </w:tblPr>
      <w:tblGrid>
        <w:gridCol w:w="3167"/>
        <w:gridCol w:w="3167"/>
        <w:gridCol w:w="3166"/>
      </w:tblGrid>
      <w:tr>
        <w:trPr>
          <w:cantSplit/>
          <w:tblHeader/>
        </w:trPr>
        <w:tc>
          <w:tcPr>
            <w:tcW w:w="3167" w:type="dxa"/>
            <w:vAlign w:val="center"/>
            <w:shd w:fill="1A354D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color w:val="FFFFFF"/>
                <w:b/>
              </w:rPr>
              <w:t xml:space="preserve">Destinatario / canal</w:t>
            </w:r>
          </w:p>
        </w:tc>
        <w:tc>
          <w:tcPr>
            <w:tcW w:w="3167" w:type="dxa"/>
            <w:vAlign w:val="center"/>
            <w:shd w:fill="1A354D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color w:val="FFFFFF"/>
                <w:b/>
              </w:rPr>
              <w:t xml:space="preserve">Contenido y versión</w:t>
            </w:r>
          </w:p>
        </w:tc>
        <w:tc>
          <w:tcPr>
            <w:tcW w:w="3166" w:type="dxa"/>
            <w:vAlign w:val="center"/>
            <w:shd w:fill="1A354D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color w:val="FFFFFF"/>
                <w:b/>
              </w:rPr>
              <w:t xml:space="preserve">Resultado / siguiente paso</w:t>
            </w:r>
          </w:p>
        </w:tc>
      </w:tr>
      <w:tr>
        <w:trPr>
          <w:cantSplit/>
        </w:trPr>
        <w:tc>
          <w:tcPr>
            <w:tcW w:w="3167" w:type="dxa"/>
            <w:vAlign w:val="center"/>
            <w:shd w:fill="FFFFFF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 xml:space="preserve">[AUTORIDAD Y CANAL OFICIAL]</w:t>
            </w:r>
          </w:p>
        </w:tc>
        <w:tc>
          <w:tcPr>
            <w:tcW w:w="3167" w:type="dxa"/>
            <w:vAlign w:val="center"/>
            <w:shd w:fill="FFFFFF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 xml:space="preserve">[FECHA; REF.; ANEXOS]</w:t>
            </w:r>
          </w:p>
        </w:tc>
        <w:tc>
          <w:tcPr>
            <w:tcW w:w="3166" w:type="dxa"/>
            <w:vAlign w:val="center"/>
            <w:shd w:fill="FFFFFF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 xml:space="preserve">[ACUSE; ORDEN; PENDIENTE]</w:t>
            </w:r>
          </w:p>
        </w:tc>
      </w:tr>
      <w:tr>
        <w:trPr>
          <w:cantSplit/>
        </w:trPr>
        <w:tc>
          <w:tcPr>
            <w:tcW w:w="3167" w:type="dxa"/>
            <w:vAlign w:val="center"/>
            <w:shd w:fill="F6F8FA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 xml:space="preserve">[FABRICANTE / PROVEEDOR / PLATAFORMA]</w:t>
            </w:r>
          </w:p>
        </w:tc>
        <w:tc>
          <w:tcPr>
            <w:tcW w:w="3167" w:type="dxa"/>
            <w:vAlign w:val="center"/>
            <w:shd w:fill="F6F8FA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 xml:space="preserve">[FECHA; VERSIÓN; REF.]</w:t>
            </w:r>
          </w:p>
        </w:tc>
        <w:tc>
          <w:tcPr>
            <w:tcW w:w="3166" w:type="dxa"/>
            <w:vAlign w:val="center"/>
            <w:shd w:fill="F6F8FA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 xml:space="preserve">[RESPUESTA Y RESPONSABLE]</w:t>
            </w:r>
          </w:p>
        </w:tc>
      </w:tr>
      <w:tr>
        <w:trPr>
          <w:cantSplit/>
        </w:trPr>
        <w:tc>
          <w:tcPr>
            <w:tcW w:w="3167" w:type="dxa"/>
            <w:vAlign w:val="center"/>
            <w:shd w:fill="FFFFFF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 xml:space="preserve">[COMPRADORES: GRUPO C-XX]</w:t>
            </w:r>
          </w:p>
        </w:tc>
        <w:tc>
          <w:tcPr>
            <w:tcW w:w="3167" w:type="dxa"/>
            <w:vAlign w:val="center"/>
            <w:shd w:fill="FFFFFF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 xml:space="preserve">[AVISO Y VERSIÓN; MEDIDA]</w:t>
            </w:r>
          </w:p>
        </w:tc>
        <w:tc>
          <w:tcPr>
            <w:tcW w:w="3166" w:type="dxa"/>
            <w:vAlign w:val="center"/>
            <w:shd w:fill="FFFFFF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 xml:space="preserve">[ENTREGA DEL AVISO / INCIDENCIA]</w:t>
            </w:r>
          </w:p>
        </w:tc>
      </w:tr>
    </w:tbl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  <w:color w:val="263A43"/>
        </w:rPr>
        <w:t xml:space="preserve">Información y decisión aún pendientes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[DATOS, PERSONA RESPONSABLE Y SIGUIENTE COMPROBACIÓN]</w:t>
      </w:r>
      <w:r>
        <w:rPr>
          <w:rFonts w:ascii="Liberation Sans" w:hAnsi="Liberation Sans" w:eastAsia="Liberation Sans"/>
          <w:sz w:val="21"/>
          <w:color w:val="263A43"/>
        </w:rPr>
        <w:t xml:space="preserve">. La urgencia o una comunicación obligatoria se atienden por su cauce; el registro conserva su constancia.</w:t>
      </w:r>
    </w:p>
    <w:p>
      <w:pPr>
        <w:pStyle w:val="Heading2"/>
        <w:keepNext/>
        <w:keepLines/>
        <w:pageBreakBefore/>
        <w:widowControl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Unidades y ejecución de las medidas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  <w:color w:val="263A43"/>
        </w:rPr>
        <w:t xml:space="preserve">Producto/lote del recuento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[REFERENCIA]</w:t>
      </w:r>
      <w:r>
        <w:rPr>
          <w:rFonts w:ascii="Liberation Sans" w:hAnsi="Liberation Sans" w:eastAsia="Liberation Sans"/>
          <w:sz w:val="21"/>
          <w:color w:val="263A43"/>
        </w:rPr>
        <w:t xml:space="preserve"> · Corte a fecha y hora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[DATOS]</w:t>
      </w:r>
      <w:r>
        <w:rPr>
          <w:rFonts w:ascii="Liberation Sans" w:hAnsi="Liberation Sans" w:eastAsia="Liberation Sans"/>
          <w:sz w:val="21"/>
          <w:color w:val="263A43"/>
        </w:rPr>
        <w:t xml:space="preserve"> · Unidad de medida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[UNIDADES / GRUPOS IDENTIFICADOS]</w:t>
      </w:r>
      <w:r>
        <w:rPr>
          <w:rFonts w:ascii="Liberation Sans" w:hAnsi="Liberation Sans" w:eastAsia="Liberation Sans"/>
          <w:sz w:val="21"/>
          <w:color w:val="263A43"/>
        </w:rPr>
        <w:t xml:space="preserve">.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  <w:color w:val="263A43"/>
        </w:rPr>
        <w:t xml:space="preserve">Punto de partida: recibidas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[NÚMERO O PENDIENTE]</w:t>
      </w:r>
      <w:r>
        <w:rPr>
          <w:rFonts w:ascii="Liberation Sans" w:hAnsi="Liberation Sans" w:eastAsia="Liberation Sans"/>
          <w:sz w:val="21"/>
          <w:color w:val="263A43"/>
        </w:rPr>
        <w:t xml:space="preserve">; en almacén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[NÚMERO O PENDIENTE]</w:t>
      </w:r>
      <w:r>
        <w:rPr>
          <w:rFonts w:ascii="Liberation Sans" w:hAnsi="Liberation Sans" w:eastAsia="Liberation Sans"/>
          <w:sz w:val="21"/>
          <w:color w:val="263A43"/>
        </w:rPr>
        <w:t xml:space="preserve">; vendidas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[NÚMERO O PENDIENTE]</w:t>
      </w:r>
      <w:r>
        <w:rPr>
          <w:rFonts w:ascii="Liberation Sans" w:hAnsi="Liberation Sans" w:eastAsia="Liberation Sans"/>
          <w:sz w:val="21"/>
          <w:color w:val="263A43"/>
        </w:rPr>
        <w:t xml:space="preserve">. Fuentes del recuento y diferencias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[DOCUMENTOS; PENDIENTES]</w:t>
      </w:r>
      <w:r>
        <w:rPr>
          <w:rFonts w:ascii="Liberation Sans" w:hAnsi="Liberation Sans" w:eastAsia="Liberation Sans"/>
          <w:sz w:val="21"/>
          <w:color w:val="263A43"/>
        </w:rPr>
        <w:t xml:space="preserve">. No sume existencias históricas y estados actuales como si fueran unidades distintas.</w:t>
      </w:r>
    </w:p>
    <w:tbl>
      <w:tblPr>
        <w:tblW w:w="9500" w:type="dxa"/>
        <w:tblLayout w:type="fixed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90" w:type="dxa"/>
          <w:bottom w:w="90" w:type="dxa"/>
          <w:left w:w="105" w:type="dxa"/>
          <w:right w:w="105" w:type="dxa"/>
        </w:tblCellMar>
      </w:tblPr>
      <w:tblGrid>
        <w:gridCol w:w="3167"/>
        <w:gridCol w:w="3167"/>
        <w:gridCol w:w="3166"/>
      </w:tblGrid>
      <w:tr>
        <w:trPr>
          <w:cantSplit/>
          <w:tblHeader/>
        </w:trPr>
        <w:tc>
          <w:tcPr>
            <w:tcW w:w="3167" w:type="dxa"/>
            <w:vAlign w:val="center"/>
            <w:shd w:fill="1A354D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color w:val="FFFFFF"/>
                <w:b/>
              </w:rPr>
              <w:t xml:space="preserve">Grupo y cantidad</w:t>
            </w:r>
          </w:p>
        </w:tc>
        <w:tc>
          <w:tcPr>
            <w:tcW w:w="3167" w:type="dxa"/>
            <w:vAlign w:val="center"/>
            <w:shd w:fill="1A354D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color w:val="FFFFFF"/>
                <w:b/>
              </w:rPr>
              <w:t xml:space="preserve">Estado físico actual</w:t>
            </w:r>
          </w:p>
        </w:tc>
        <w:tc>
          <w:tcPr>
            <w:tcW w:w="3166" w:type="dxa"/>
            <w:vAlign w:val="center"/>
            <w:shd w:fill="1A354D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color w:val="FFFFFF"/>
                <w:b/>
              </w:rPr>
              <w:t xml:space="preserve">Fecha y prueba</w:t>
            </w:r>
          </w:p>
        </w:tc>
      </w:tr>
      <w:tr>
        <w:trPr>
          <w:cantSplit/>
        </w:trPr>
        <w:tc>
          <w:tcPr>
            <w:tcW w:w="3167" w:type="dxa"/>
            <w:vAlign w:val="center"/>
            <w:shd w:fill="FFFFFF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 xml:space="preserve">[U-01; CANTIDAD]</w:t>
            </w:r>
          </w:p>
        </w:tc>
        <w:tc>
          <w:tcPr>
            <w:tcW w:w="3167" w:type="dxa"/>
            <w:vAlign w:val="center"/>
            <w:shd w:fill="FFFFFF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 xml:space="preserve">[ALMACÉN AISLADO / EN CONSUMIDOR / EN TRÁNSITO / RECIBIDO / OTRO]</w:t>
            </w:r>
          </w:p>
        </w:tc>
        <w:tc>
          <w:tcPr>
            <w:tcW w:w="3166" w:type="dxa"/>
            <w:vAlign w:val="center"/>
            <w:shd w:fill="FFFFFF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 xml:space="preserve">[SERIES O PEDIDOS; FECHA; SOPORTE]</w:t>
            </w:r>
          </w:p>
        </w:tc>
      </w:tr>
      <w:tr>
        <w:trPr>
          <w:cantSplit/>
        </w:trPr>
        <w:tc>
          <w:tcPr>
            <w:tcW w:w="3167" w:type="dxa"/>
            <w:vAlign w:val="center"/>
            <w:shd w:fill="F6F8FA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 xml:space="preserve">[U-02; CANTIDAD]</w:t>
            </w:r>
          </w:p>
        </w:tc>
        <w:tc>
          <w:tcPr>
            <w:tcW w:w="3167" w:type="dxa"/>
            <w:vAlign w:val="center"/>
            <w:shd w:fill="F6F8FA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 xml:space="preserve">[ESTADO Y UBICACIÓN O PENDIENTE]</w:t>
            </w:r>
          </w:p>
        </w:tc>
        <w:tc>
          <w:tcPr>
            <w:tcW w:w="3166" w:type="dxa"/>
            <w:vAlign w:val="center"/>
            <w:shd w:fill="F6F8FA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 xml:space="preserve">[FECHA; SOPORTE; RESPONSABLE]</w:t>
            </w:r>
          </w:p>
        </w:tc>
      </w:tr>
      <w:tr>
        <w:trPr>
          <w:cantSplit/>
        </w:trPr>
        <w:tc>
          <w:tcPr>
            <w:tcW w:w="3167" w:type="dxa"/>
            <w:vAlign w:val="center"/>
            <w:shd w:fill="FFFFFF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 xml:space="preserve">[U-03; CANTIDAD]</w:t>
            </w:r>
          </w:p>
        </w:tc>
        <w:tc>
          <w:tcPr>
            <w:tcW w:w="3167" w:type="dxa"/>
            <w:vAlign w:val="center"/>
            <w:shd w:fill="FFFFFF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 xml:space="preserve">[ESTADO Y UBICACIÓN O PENDIENTE]</w:t>
            </w:r>
          </w:p>
        </w:tc>
        <w:tc>
          <w:tcPr>
            <w:tcW w:w="3166" w:type="dxa"/>
            <w:vAlign w:val="center"/>
            <w:shd w:fill="FFFFFF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 xml:space="preserve">[FECHA; SOPORTE; RESPONSABLE]</w:t>
            </w:r>
          </w:p>
        </w:tc>
      </w:tr>
    </w:tbl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  <w:color w:val="263A43"/>
        </w:rPr>
        <w:t xml:space="preserve">Para cada cambio, conserve el estado anterior y la referencia del movimiento. Un envío de aviso no es una devolución física; un paquete en tránsito no se registra también como recibido.</w:t>
      </w:r>
    </w:p>
    <w:tbl>
      <w:tblPr>
        <w:tblW w:w="9500" w:type="dxa"/>
        <w:tblLayout w:type="fixed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90" w:type="dxa"/>
          <w:bottom w:w="90" w:type="dxa"/>
          <w:left w:w="105" w:type="dxa"/>
          <w:right w:w="105" w:type="dxa"/>
        </w:tblCellMar>
      </w:tblPr>
      <w:tblGrid>
        <w:gridCol w:w="3167"/>
        <w:gridCol w:w="3167"/>
        <w:gridCol w:w="3166"/>
      </w:tblGrid>
      <w:tr>
        <w:trPr>
          <w:cantSplit/>
          <w:tblHeader/>
        </w:trPr>
        <w:tc>
          <w:tcPr>
            <w:tcW w:w="3167" w:type="dxa"/>
            <w:vAlign w:val="center"/>
            <w:shd w:fill="1A354D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color w:val="FFFFFF"/>
                <w:b/>
              </w:rPr>
              <w:t xml:space="preserve">Ejecución / grupo</w:t>
            </w:r>
          </w:p>
        </w:tc>
        <w:tc>
          <w:tcPr>
            <w:tcW w:w="3167" w:type="dxa"/>
            <w:vAlign w:val="center"/>
            <w:shd w:fill="1A354D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color w:val="FFFFFF"/>
                <w:b/>
              </w:rPr>
              <w:t xml:space="preserve">Medida y comprobación</w:t>
            </w:r>
          </w:p>
        </w:tc>
        <w:tc>
          <w:tcPr>
            <w:tcW w:w="3166" w:type="dxa"/>
            <w:vAlign w:val="center"/>
            <w:shd w:fill="1A354D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color w:val="FFFFFF"/>
                <w:b/>
              </w:rPr>
              <w:t xml:space="preserve">Documento / pendiente</w:t>
            </w:r>
          </w:p>
        </w:tc>
      </w:tr>
      <w:tr>
        <w:trPr>
          <w:cantSplit/>
        </w:trPr>
        <w:tc>
          <w:tcPr>
            <w:tcW w:w="3167" w:type="dxa"/>
            <w:vAlign w:val="center"/>
            <w:shd w:fill="FFFFFF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 xml:space="preserve">[C-XX; AVISOS ENVIADOS Y ENTREGADOS]</w:t>
            </w:r>
          </w:p>
        </w:tc>
        <w:tc>
          <w:tcPr>
            <w:tcW w:w="3167" w:type="dxa"/>
            <w:vAlign w:val="center"/>
            <w:shd w:fill="FFFFFF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 xml:space="preserve">[INCIDENCIAS DE CONTACTO]</w:t>
            </w:r>
          </w:p>
        </w:tc>
        <w:tc>
          <w:tcPr>
            <w:tcW w:w="3166" w:type="dxa"/>
            <w:vAlign w:val="center"/>
            <w:shd w:fill="FFFFFF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 xml:space="preserve">[VERSIÓN; ACUSES; RESPUESTA]</w:t>
            </w:r>
          </w:p>
        </w:tc>
      </w:tr>
      <w:tr>
        <w:trPr>
          <w:cantSplit/>
        </w:trPr>
        <w:tc>
          <w:tcPr>
            <w:tcW w:w="3167" w:type="dxa"/>
            <w:vAlign w:val="center"/>
            <w:shd w:fill="F6F8FA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 xml:space="preserve">[R-XX; UNIDADES EFECTIVAMENTE RECIBIDAS]</w:t>
            </w:r>
          </w:p>
        </w:tc>
        <w:tc>
          <w:tcPr>
            <w:tcW w:w="3167" w:type="dxa"/>
            <w:vAlign w:val="center"/>
            <w:shd w:fill="F6F8FA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 xml:space="preserve">[IDENTIFICACIÓN Y DESTINO SEGURO]</w:t>
            </w:r>
          </w:p>
        </w:tc>
        <w:tc>
          <w:tcPr>
            <w:tcW w:w="3166" w:type="dxa"/>
            <w:vAlign w:val="center"/>
            <w:shd w:fill="F6F8FA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 xml:space="preserve">[RECEPCIÓN; CUSTODIA; SOPORTE]</w:t>
            </w:r>
          </w:p>
        </w:tc>
      </w:tr>
      <w:tr>
        <w:trPr>
          <w:cantSplit/>
        </w:trPr>
        <w:tc>
          <w:tcPr>
            <w:tcW w:w="3167" w:type="dxa"/>
            <w:vAlign w:val="center"/>
            <w:shd w:fill="FFFFFF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 xml:space="preserve">[S-XX; SOLUCIÓN OFRECIDA / ELEGIDA / EJECUTADA]</w:t>
            </w:r>
          </w:p>
        </w:tc>
        <w:tc>
          <w:tcPr>
            <w:tcW w:w="3167" w:type="dxa"/>
            <w:vAlign w:val="center"/>
            <w:shd w:fill="FFFFFF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 xml:space="preserve">[REPARACIÓN / SUSTITUCIÓN / REEMBOLSO / OTRA SEGÚN RÉGIMEN]</w:t>
            </w:r>
          </w:p>
        </w:tc>
        <w:tc>
          <w:tcPr>
            <w:tcW w:w="3166" w:type="dxa"/>
            <w:vAlign w:val="center"/>
            <w:shd w:fill="FFFFFF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 xml:space="preserve">[FECHA; IMPORTE O PENDIENTE; JUSTIFICANTE]</w:t>
            </w:r>
          </w:p>
        </w:tc>
      </w:tr>
    </w:tbl>
    <w:p>
      <w:pPr>
        <w:pStyle w:val="Heading2"/>
        <w:keepNext/>
        <w:keepLines/>
        <w:widowControl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Seguimiento y cierre documentado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  <w:color w:val="263A43"/>
        </w:rPr>
        <w:t xml:space="preserve">Totales conciliados a la fecha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[ESTADOS MUTUAMENTE EXCLUYENTES Y SOPORTE]</w:t>
      </w:r>
      <w:r>
        <w:rPr>
          <w:rFonts w:ascii="Liberation Sans" w:hAnsi="Liberation Sans" w:eastAsia="Liberation Sans"/>
          <w:sz w:val="21"/>
          <w:color w:val="263A43"/>
        </w:rPr>
        <w:t xml:space="preserve">. Unidades no localizadas o pendientes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[CANTIDAD O PENDIENTE Y GESTIÓN]</w:t>
      </w:r>
      <w:r>
        <w:rPr>
          <w:rFonts w:ascii="Liberation Sans" w:hAnsi="Liberation Sans" w:eastAsia="Liberation Sans"/>
          <w:sz w:val="21"/>
          <w:color w:val="263A43"/>
        </w:rPr>
        <w:t xml:space="preserve">. Tareas abiertas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[RESPONSABLE Y PRÓXIMO PASO]</w:t>
      </w:r>
      <w:r>
        <w:rPr>
          <w:rFonts w:ascii="Liberation Sans" w:hAnsi="Liberation Sans" w:eastAsia="Liberation Sans"/>
          <w:sz w:val="21"/>
          <w:color w:val="263A43"/>
        </w:rPr>
        <w:t xml:space="preserve">.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  <w:color w:val="263A43"/>
        </w:rPr>
        <w:t xml:space="preserve">Decisión de cierre o continuación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[QUIÉN DECIDE, ALCANCE Y FUNDAMENTO]</w:t>
      </w:r>
      <w:r>
        <w:rPr>
          <w:rFonts w:ascii="Liberation Sans" w:hAnsi="Liberation Sans" w:eastAsia="Liberation Sans"/>
          <w:sz w:val="21"/>
          <w:color w:val="263A43"/>
        </w:rPr>
        <w:t xml:space="preserve">. Comunicación de seguimiento a autoridad u otros operadores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[REFERENCIA O NO PROCEDE MOTIVADO]</w:t>
      </w:r>
      <w:r>
        <w:rPr>
          <w:rFonts w:ascii="Liberation Sans" w:hAnsi="Liberation Sans" w:eastAsia="Liberation Sans"/>
          <w:sz w:val="21"/>
          <w:color w:val="263A43"/>
        </w:rPr>
        <w:t xml:space="preserve">. Fecha, revisión y firma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[DATOS]</w:t>
      </w:r>
      <w:r>
        <w:rPr>
          <w:rFonts w:ascii="Liberation Sans" w:hAnsi="Liberation Sans" w:eastAsia="Liberation Sans"/>
          <w:sz w:val="21"/>
          <w:color w:val="263A43"/>
        </w:rPr>
        <w:t xml:space="preserve">.</w:t>
      </w:r>
    </w:p>
    <w:p>
      <w:pPr>
        <w:pStyle w:val="Heading2"/>
        <w:keepNext/>
        <w:keepLines/>
        <w:pageBreakBefore/>
        <w:widowControl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Guía de uso y ejemplo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  <w:color w:val="263A43"/>
        </w:rPr>
        <w:t xml:space="preserve">Conserve las dos páginas anteriores como libro privado de actuaciones. Este documento no es un aviso dirigido a consumidores, una notificación oficial ni una evaluación técnica de seguridad. Vincule cada anotación a su prueba y a la versión de la comunicación; no espere a completar todas las casillas para atender medidas urgentes.</w:t>
      </w:r>
    </w:p>
    <w:p>
      <w:pPr>
        <w:pStyle w:val="Heading2"/>
        <w:keepNext/>
        <w:keepLines/>
        <w:widowControl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Elegir el régimen antes del canal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  <w:color w:val="263A43"/>
        </w:rPr>
        <w:t xml:space="preserve">Compruebe producto, riesgo y rol. El Reglamento (UE) 2023/988 tiene ámbito, exclusiones y relación con normas sectoriales: no todos sus capítulos se aplican a productos armonizados. Para material eléctrico puede corresponder el RD 187/2016 en sus límites de tensión, además de otras reglas pertinentes. No determine la norma sólo por el nombre comercial.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  <w:color w:val="263A43"/>
        </w:rPr>
        <w:t xml:space="preserve">Cuando resulte exigible, utilice Safety Business Gateway y el cauce de la autoridad competente. Identifique qué operador debe comunicar o asegurarse de la comunicación. Conserve la constancia, sin marcar «comunicado» por haber escrito esta tabla. La comunicación a la plataforma tampoco sustituye por sí sola a la autoridad ni al aviso a compradores.</w:t>
      </w:r>
    </w:p>
    <w:p>
      <w:pPr>
        <w:pStyle w:val="Heading2"/>
        <w:keepNext/>
        <w:keepLines/>
        <w:widowControl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Ejemplo ficticio: 80 unidades, 25 en almacén y 55 vendidas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  <w:color w:val="263A43"/>
        </w:rPr>
        <w:t xml:space="preserve">Una tienda identifica un lote de cargadores. El ejemplo enseña el recuento; el régimen eléctrico y las instrucciones aplicables se verifican aparte. Aísla las 25 unidades del almacén. Envía 55 avisos: no son 55 recuperaciones. Más tarde constan 10 unidades recibidas, 5 en tránsito y 40 aún con compradores. El estado actual es 25 + 10 + 5 + 40 = 80; dentro de las 55 vendidas hay 10 + 5 + 40 = 55. No vuelve a sumar las 55 históricas.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  <w:color w:val="263A43"/>
        </w:rPr>
        <w:t xml:space="preserve">Si un dato no se conoce, anote pendiente y su fuente por obtener. Cero significa que se comprobó que no hay unidades en ese estado. Si llega dos veces el mismo justificante o cambia una unidad de estado, relacione la corrección con su ID: no cree otra unidad para cuadrar el total.</w:t>
      </w:r>
    </w:p>
    <w:p>
      <w:pPr>
        <w:pStyle w:val="Heading2"/>
        <w:keepNext/>
        <w:keepLines/>
        <w:widowControl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Aviso, solución y prueba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  <w:color w:val="263A43"/>
        </w:rPr>
        <w:t xml:space="preserve">Cuando procedan los artículos 35–37 del Reglamento, el aviso debe identificar producto y peligro con claridad, sin minimizarlo, explicar qué debe hacerse y las soluciones aplicables. Utilice el modelo oficial de aviso correspondiente, no esta hoja privada. Compruebe sus condiciones y excepciones y la normativa sectorial; no prometa una solución universal.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  <w:color w:val="263A43"/>
        </w:rPr>
        <w:t xml:space="preserve">Conserve sólo los datos personales necesarios, preferiblemente referencias de pedido o grupo con acceso limitado. Registre entrega del mensaje, respuesta y ejecución de la solución por separado. Dar una medida por terminada exige su soporte y el seguimiento pendiente; no equivale a una autorización para reanudar todas las ventas.</w:t>
      </w:r>
    </w:p>
    <w:p>
      <w:pPr>
        <w:pStyle w:val="Heading2"/>
        <w:keepNext/>
        <w:keepLines/>
        <w:widowControl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Fuentes de alcance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  <w:color w:val="263A43"/>
        </w:rPr>
        <w:t xml:space="preserve">Reglamento (UE) 2023/988, arts. 2–3, 9, 11–12, 20, 27 y 35–37, en su ámbito; corrección de 2026 del art. 9.11 y reforma de emergencia del Reglamento (UE) 2024/2748. Publicación: https://www.boe.es/buscar/doc.php?id=DOUE-L-2023-80684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  <w:color w:val="263A43"/>
        </w:rPr>
        <w:t xml:space="preserve">RD 187/2016, arts. 1, 6, 8 y 9, para el material eléctrico comprendido: https://www.boe.es/buscar/act.php?id=BOE-A-2016-4443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  <w:color w:val="263A43"/>
        </w:rPr>
        <w:t xml:space="preserve">Canal oficial: https://webgate.ec.europa.eu/safety-business-gateway/ · Directrices de la Comisión C/2025/6233: orientación interpretativa, no sustituyen la norma.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  <w:jc w:val="left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="Georgia" w:hAnsi="Georgia"/>
      <w:b/>
      <w:bCs/>
      <w:color w:val="000000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="Georgia" w:hAnsi="Georgia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="Georgia" w:hAnsi="Georgia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80"/>
      <w:contextualSpacing/>
    </w:pPr>
    <w:rPr>
      <w:rFonts w:ascii="Georgia" w:hAnsi="Georgia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1994-26003#a36" TargetMode="External"/><Relationship Id="rId12" Type="http://schemas.openxmlformats.org/officeDocument/2006/relationships/hyperlink" Target="https://www.boe.es/buscar/act.php?id=BOE-A-1889-4763#art1561" TargetMode="External"/><Relationship Id="rId13" Type="http://schemas.openxmlformats.org/officeDocument/2006/relationships/hyperlink" Target="https://www.boe.es/buscar/doc.php?id=BOE-A-2026-208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Registro de retirada o recuperación de un producto</dc:title>
  <dc:subject>Modelo privado editable con guía separada</dc:subject>
  <dc:creator/>
  <cp:keywords/>
  <dc:description>Anexo editable con guía privada separada</dc:description>
  <cp:lastModifiedBy/>
  <cp:revision>1</cp:revision>
  <dcterms:created xsi:type="dcterms:W3CDTF">2026-11-01T00:15:25Z</dcterms:created>
  <dcterms:modified xsi:type="dcterms:W3CDTF">2026-11-01T00:15:25Z</dcterms:modified>
  <cp:category/>
</cp:coreProperties>
</file>