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40"/>
        <w:jc w:val="center"/>
      </w:pPr>
      <w:r>
        <w:rPr>
          <w:rFonts w:ascii="Arial" w:hAnsi="Arial"/>
          <w:b/>
          <w:color w:val="397CDD"/>
          <w:sz w:val="16"/>
        </w:rPr>
        <w:t>FISCAL Y TRIBUTARIO</w:t>
      </w:r>
    </w:p>
    <w:p>
      <w:pPr>
        <w:keepNext/>
        <w:spacing w:after="120"/>
        <w:jc w:val="center"/>
      </w:pPr>
      <w:r>
        <w:rPr>
          <w:rFonts w:ascii="Georgia" w:hAnsi="Georgia"/>
          <w:b/>
          <w:color w:val="17233C"/>
          <w:sz w:val="42"/>
        </w:rPr>
        <w:t>Recurso de reposición tributario</w:t>
      </w:r>
    </w:p>
    <w:p>
      <w:pPr>
        <w:spacing w:after="240"/>
        <w:jc w:val="center"/>
      </w:pPr>
      <w:r>
        <w:rPr>
          <w:rFonts w:ascii="Arial" w:hAnsi="Arial"/>
          <w:color w:val="667085"/>
          <w:sz w:val="21"/>
        </w:rPr>
        <w:t>Recurso potestativo contra una liquidación, sanción, apremio u otro acto tributario recurrible.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F5F0E8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GUÍA DE USO · NO FORMA PARTE DEL ESCRITO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Documento editable y orientativo. Sustituye todos los campos azules y elimina las alternativas que no correspondan.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Comprueba destinatario, procedimiento, plazo, hechos, documentos y forma de presentación. Un modelo no determina por sí solo la estrategia ni interrumpe automáticamente ningún plazo.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Destinatario habitual: Órgano que dictó el acto.</w:t>
            </w:r>
          </w:p>
        </w:tc>
      </w:tr>
    </w:tbl>
    <w:p>
      <w:pPr>
        <w:spacing w:after="0"/>
      </w:pPr>
    </w:p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BORRADOR EDITABLE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DESDE AQUÍ COMIENZA EL TEXTO DEL DOCUMENTO</w:t>
      </w:r>
    </w:p>
    <w:p>
      <w:pPr>
        <w:pStyle w:val="Heading2"/>
      </w:pPr>
      <w:r>
        <w:t>Acto</w:t>
      </w:r>
    </w:p>
    <w:p>
      <w:pPr>
        <w:jc w:val="both"/>
      </w:pPr>
      <w:r>
        <w:rPr>
          <w:rFonts w:ascii="Arial" w:hAnsi="Arial"/>
        </w:rPr>
        <w:t xml:space="preserve">Se recurre </w:t>
      </w:r>
      <w:r>
        <w:rPr>
          <w:rFonts w:ascii="Arial" w:hAnsi="Arial"/>
          <w:b/>
          <w:color w:val="397CDD"/>
          <w:shd w:fill="E5EFFC"/>
        </w:rPr>
        <w:t>{{TIPO_ACTO}}</w:t>
      </w:r>
      <w:r>
        <w:rPr>
          <w:rFonts w:ascii="Arial" w:hAnsi="Arial"/>
        </w:rPr>
        <w:t xml:space="preserve">, referencia </w:t>
      </w:r>
      <w:r>
        <w:rPr>
          <w:rFonts w:ascii="Arial" w:hAnsi="Arial"/>
          <w:b/>
          <w:color w:val="397CDD"/>
          <w:shd w:fill="E5EFFC"/>
        </w:rPr>
        <w:t>{{REFERENCIA}}</w:t>
      </w:r>
      <w:r>
        <w:rPr>
          <w:rFonts w:ascii="Arial" w:hAnsi="Arial"/>
        </w:rPr>
        <w:t xml:space="preserve">, notificado el </w:t>
      </w:r>
      <w:r>
        <w:rPr>
          <w:rFonts w:ascii="Arial" w:hAnsi="Arial"/>
          <w:b/>
          <w:color w:val="397CDD"/>
          <w:shd w:fill="E5EFFC"/>
        </w:rPr>
        <w:t>{{FECHA}}</w:t>
      </w:r>
      <w:r>
        <w:rPr>
          <w:rFonts w:ascii="Arial" w:hAnsi="Arial"/>
        </w:rPr>
        <w:t>.</w:t>
      </w:r>
    </w:p>
    <w:p>
      <w:pPr>
        <w:pStyle w:val="Heading2"/>
      </w:pPr>
      <w:r>
        <w:t>Procedencia</w:t>
      </w:r>
    </w:p>
    <w:p>
      <w:pPr>
        <w:jc w:val="both"/>
      </w:pPr>
      <w:r>
        <w:rPr>
          <w:rFonts w:ascii="Arial" w:hAnsi="Arial"/>
        </w:rPr>
        <w:t>El recurso se interpone dentro del mes y se declara que el mismo acto no ha sido impugnado simultáneamente en vía económico-administrativa.</w:t>
      </w:r>
    </w:p>
    <w:p>
      <w:pPr>
        <w:pStyle w:val="Heading2"/>
      </w:pPr>
      <w:r>
        <w:t>Alegaciones</w:t>
      </w:r>
    </w:p>
    <w:p>
      <w:pPr>
        <w:jc w:val="both"/>
      </w:pPr>
      <w:r>
        <w:rPr>
          <w:rFonts w:ascii="Arial" w:hAnsi="Arial"/>
        </w:rPr>
        <w:t xml:space="preserve">Primera. </w:t>
      </w:r>
      <w:r>
        <w:rPr>
          <w:rFonts w:ascii="Arial" w:hAnsi="Arial"/>
          <w:b/>
          <w:color w:val="397CDD"/>
          <w:shd w:fill="E5EFFC"/>
        </w:rPr>
        <w:t>{{ALEGACION_1}}</w:t>
      </w:r>
      <w:r>
        <w:rPr>
          <w:rFonts w:ascii="Arial" w:hAnsi="Arial"/>
        </w:rPr>
        <w:t>.</w:t>
      </w:r>
    </w:p>
    <w:p>
      <w:pPr>
        <w:jc w:val="both"/>
      </w:pPr>
      <w:r>
        <w:rPr>
          <w:rFonts w:ascii="Arial" w:hAnsi="Arial"/>
        </w:rPr>
        <w:t xml:space="preserve">Segunda. </w:t>
      </w:r>
      <w:r>
        <w:rPr>
          <w:rFonts w:ascii="Arial" w:hAnsi="Arial"/>
          <w:b/>
          <w:color w:val="397CDD"/>
          <w:shd w:fill="E5EFFC"/>
        </w:rPr>
        <w:t>{{ALEGACION_2}}</w:t>
      </w:r>
      <w:r>
        <w:rPr>
          <w:rFonts w:ascii="Arial" w:hAnsi="Arial"/>
        </w:rPr>
        <w:t>.</w:t>
      </w:r>
    </w:p>
    <w:p>
      <w:pPr>
        <w:jc w:val="both"/>
      </w:pPr>
      <w:r>
        <w:rPr>
          <w:rFonts w:ascii="Arial" w:hAnsi="Arial"/>
        </w:rPr>
        <w:t xml:space="preserve">Tercera. </w:t>
      </w:r>
      <w:r>
        <w:rPr>
          <w:rFonts w:ascii="Arial" w:hAnsi="Arial"/>
          <w:b/>
          <w:color w:val="397CDD"/>
          <w:shd w:fill="E5EFFC"/>
        </w:rPr>
        <w:t>{{ALEGACION_3}}</w:t>
      </w:r>
      <w:r>
        <w:rPr>
          <w:rFonts w:ascii="Arial" w:hAnsi="Arial"/>
        </w:rPr>
        <w:t>.</w:t>
      </w:r>
    </w:p>
    <w:p>
      <w:pPr>
        <w:pStyle w:val="Heading2"/>
      </w:pPr>
      <w:r>
        <w:t>Documentos</w:t>
      </w:r>
    </w:p>
    <w:p>
      <w:pPr>
        <w:jc w:val="both"/>
      </w:pPr>
      <w:r>
        <w:rPr>
          <w:rFonts w:ascii="Arial" w:hAnsi="Arial"/>
        </w:rPr>
        <w:t xml:space="preserve">Se acompañan </w:t>
      </w:r>
      <w:r>
        <w:rPr>
          <w:rFonts w:ascii="Arial" w:hAnsi="Arial"/>
          <w:b/>
          <w:color w:val="397CDD"/>
          <w:shd w:fill="E5EFFC"/>
        </w:rPr>
        <w:t>{{DOCUMENTOS}}</w:t>
      </w:r>
      <w:r>
        <w:rPr>
          <w:rFonts w:ascii="Arial" w:hAnsi="Arial"/>
        </w:rPr>
        <w:t>.</w:t>
      </w:r>
    </w:p>
    <w:p>
      <w:pPr>
        <w:pStyle w:val="Heading2"/>
      </w:pPr>
      <w:r>
        <w:t>Suspensión</w:t>
      </w:r>
    </w:p>
    <w:p>
      <w:pPr>
        <w:jc w:val="both"/>
      </w:pPr>
      <w:r>
        <w:rPr>
          <w:rFonts w:ascii="Arial" w:hAnsi="Arial"/>
        </w:rPr>
        <w:t xml:space="preserve">Se solicita o no suspensión: </w:t>
      </w:r>
      <w:r>
        <w:rPr>
          <w:rFonts w:ascii="Arial" w:hAnsi="Arial"/>
          <w:b/>
          <w:color w:val="397CDD"/>
          <w:shd w:fill="E5EFFC"/>
        </w:rPr>
        <w:t>{{SOLICITUD_SUSPENSION}}</w:t>
      </w:r>
      <w:r>
        <w:rPr>
          <w:rFonts w:ascii="Arial" w:hAnsi="Arial"/>
        </w:rPr>
        <w:t xml:space="preserve">, con </w:t>
      </w:r>
      <w:r>
        <w:rPr>
          <w:rFonts w:ascii="Arial" w:hAnsi="Arial"/>
          <w:b/>
          <w:color w:val="397CDD"/>
          <w:shd w:fill="E5EFFC"/>
        </w:rPr>
        <w:t>{{GARANTIA}}</w:t>
      </w:r>
      <w:r>
        <w:rPr>
          <w:rFonts w:ascii="Arial" w:hAnsi="Arial"/>
        </w:rPr>
        <w:t>.</w:t>
      </w:r>
    </w:p>
    <w:p>
      <w:pPr>
        <w:pStyle w:val="Heading2"/>
      </w:pPr>
      <w:r>
        <w:t>Petición</w:t>
      </w:r>
    </w:p>
    <w:p>
      <w:pPr>
        <w:jc w:val="both"/>
      </w:pPr>
      <w:r>
        <w:rPr>
          <w:rFonts w:ascii="Arial" w:hAnsi="Arial"/>
        </w:rPr>
        <w:t xml:space="preserve">Se solicita anular o rectificar el acto y reconocer </w:t>
      </w:r>
      <w:r>
        <w:rPr>
          <w:rFonts w:ascii="Arial" w:hAnsi="Arial"/>
          <w:b/>
          <w:color w:val="397CDD"/>
          <w:shd w:fill="E5EFFC"/>
        </w:rPr>
        <w:t>{{RESULTADO}}</w:t>
      </w:r>
      <w:r>
        <w:rPr>
          <w:rFonts w:ascii="Arial" w:hAnsi="Arial"/>
        </w:rPr>
        <w:t>.</w:t>
      </w:r>
    </w:p>
    <w:p>
      <w:pPr>
        <w:pStyle w:val="Heading2"/>
      </w:pPr>
      <w:r>
        <w:t>Petición o acuerdo final</w:t>
      </w:r>
    </w:p>
    <w:p>
      <w:r>
        <w:rPr>
          <w:rFonts w:ascii="Arial" w:hAnsi="Arial"/>
        </w:rPr>
        <w:t xml:space="preserve">En </w:t>
      </w:r>
      <w:r>
        <w:rPr>
          <w:rFonts w:ascii="Arial" w:hAnsi="Arial"/>
          <w:b/>
          <w:color w:val="397CDD"/>
          <w:shd w:fill="E5EFFC"/>
        </w:rPr>
        <w:t>{{LOCALIDAD}}</w:t>
      </w:r>
      <w:r>
        <w:rPr>
          <w:rFonts w:ascii="Arial" w:hAnsi="Arial"/>
        </w:rPr>
        <w:t xml:space="preserve">, a </w:t>
      </w:r>
      <w:r>
        <w:rPr>
          <w:rFonts w:ascii="Arial" w:hAnsi="Arial"/>
          <w:b/>
          <w:color w:val="397CDD"/>
          <w:shd w:fill="E5EFFC"/>
        </w:rPr>
        <w:t>{{FECHA_FIRMA}}</w:t>
      </w:r>
      <w:r>
        <w:rPr>
          <w:rFonts w:ascii="Arial" w:hAnsi="Arial"/>
        </w:rPr>
        <w:t xml:space="preserve">. Se firma o presenta por </w:t>
      </w:r>
      <w:r>
        <w:rPr>
          <w:rFonts w:ascii="Arial" w:hAnsi="Arial"/>
          <w:b/>
          <w:color w:val="397CDD"/>
          <w:shd w:fill="E5EFFC"/>
        </w:rPr>
        <w:t>{{FIRMANTES_O_REPRESENTANTE}}</w:t>
      </w:r>
      <w:r>
        <w:rPr>
          <w:rFonts w:ascii="Arial" w:hAnsi="Arial"/>
        </w:rPr>
        <w:t>.</w:t>
      </w:r>
    </w:p>
    <w:tbl>
      <w:tblPr>
        <w:tblW w:type="dxa" w:w="9532"/>
        <w:tblLayout w:type="fixed"/>
        <w:tblLook w:firstColumn="1" w:firstRow="1" w:lastColumn="0" w:lastRow="0" w:noHBand="0" w:noVBand="1" w:val="04A0"/>
        <w:tblInd w:w="0" w:type="dxa"/>
      </w:tblPr>
      <w:tblGrid>
        <w:gridCol w:w="4766"/>
        <w:gridCol w:w="4766"/>
      </w:tblGrid>
      <w:tr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identificación</w:t>
            </w:r>
          </w:p>
        </w:tc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representación</w:t>
            </w:r>
          </w:p>
        </w:tc>
      </w:tr>
      <w:tr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</w:tr>
    </w:tbl>
    <w:p>
      <w:r>
        <w:br w:type="page"/>
      </w:r>
    </w:p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GUÍA DE REVISIÓN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MATERIAL DE APOYO · ELIMINA ESTA PARTE ANTES DE FIRMAR O PRESENTAR</w:t>
      </w:r>
    </w:p>
    <w:p>
      <w:pPr>
        <w:pStyle w:val="Heading1"/>
      </w:pPr>
      <w:r>
        <w:t>Comprobación antes de firmar o presentar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Acto y fecha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Plazo de un mes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Elección entre reposición y reclamación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Garantía para suspensión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Alegaciones completas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EFF4FC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Puntos que requieren especial atención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No interpongas simultáneamente reposición y reclamación económico-administrativa contra el mismo acto.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La mera interposición no suspende normalmente la ejecución.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Valora reducciones y efectos económicos antes de recurrir.</w:t>
            </w:r>
          </w:p>
        </w:tc>
      </w:tr>
    </w:tbl>
    <w:p>
      <w:pPr>
        <w:spacing w:after="0"/>
      </w:pPr>
    </w:p>
    <w:p>
      <w:pPr>
        <w:pStyle w:val="Heading1"/>
      </w:pPr>
      <w:r>
        <w:t>Fuentes de referencia</w:t>
      </w:r>
    </w:p>
    <w:p>
      <w:r>
        <w:rPr>
          <w:b/>
        </w:rPr>
        <w:t>AEAT: recurso de reposición</w:t>
      </w:r>
      <w:r>
        <w:t xml:space="preserve"> — https://sede.agenciatributaria.gob.es/Sede/deudas-apremios-embargos-subastas/recursos/recurso-reposicion.html</w:t>
      </w:r>
    </w:p>
    <w:p>
      <w:r>
        <w:rPr>
          <w:b/>
        </w:rPr>
        <w:t>Ley General Tributaria</w:t>
      </w:r>
      <w:r>
        <w:t xml:space="preserve"> — https://www.boe.es/buscar/act.php?id=BOE-A-2003-23186</w:t>
      </w:r>
    </w:p>
    <w:p>
      <w:pPr>
        <w:spacing w:before="120"/>
      </w:pPr>
      <w:r>
        <w:rPr>
          <w:i/>
          <w:color w:val="667085"/>
          <w:sz w:val="16"/>
        </w:rPr>
        <w:t>Versión revisada: 2026-08-24. Información jurídica general; normativa y procedimiento deben comprobarse en la fecha de uso.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1008" w:right="1187" w:bottom="950" w:left="1187" w:header="389" w:footer="38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9533"/>
      <w:tblLayout w:type="fixed"/>
      <w:tblLook w:firstColumn="1" w:firstRow="1" w:lastColumn="0" w:lastRow="0" w:noHBand="0" w:noVBand="1" w:val="04A0"/>
      <w:tblInd w:w="0" w:type="dxa"/>
    </w:tblPr>
    <w:tblGrid>
      <w:gridCol w:w="8237"/>
      <w:gridCol w:w="1296"/>
    </w:tblGrid>
    <w:tr>
      <w:tc>
        <w:tcPr>
          <w:tcW w:type="dxa" w:w="8237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Arial" w:hAnsi="Arial"/>
              <w:color w:val="667085"/>
              <w:sz w:val="14"/>
            </w:rPr>
            <w:t>Modelo orientativo · Revisión profesional recomendada · perezburgosabogados.es</w:t>
          </w:r>
        </w:p>
      </w:tc>
      <w:tc>
        <w:tcPr>
          <w:tcW w:type="dxa" w:w="1296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Georgia" w:hAnsi="Georgia"/>
        <w:b/>
        <w:color w:val="17233C"/>
        <w:sz w:val="18"/>
      </w:rPr>
      <w:t>PÉREZ &amp; BURGOS</w:t>
    </w:r>
    <w:r>
      <w:rPr>
        <w:rFonts w:ascii="Arial" w:hAnsi="Arial"/>
        <w:b/>
        <w:color w:val="397CDD"/>
        <w:sz w:val="15"/>
      </w:rPr>
      <w:t xml:space="preserve">  ·  MODELOS JURÍDICOS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8" w:lineRule="auto"/>
      <w:jc w:val="both"/>
    </w:pPr>
    <w:rPr>
      <w:rFonts w:ascii="Arial" w:hAnsi="Arial"/>
      <w:color w:val="263044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40"/>
      <w:outlineLvl w:val="0"/>
    </w:pPr>
    <w:rPr>
      <w:rFonts w:asciiTheme="majorHAnsi" w:eastAsiaTheme="majorEastAsia" w:hAnsiTheme="majorHAnsi" w:cstheme="majorBidi" w:ascii="Georgia" w:hAnsi="Georgia"/>
      <w:b/>
      <w:bCs/>
      <w:color w:val="17233C"/>
      <w:sz w:val="3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Georgia" w:hAnsi="Georgia"/>
      <w:b/>
      <w:bCs/>
      <w:color w:val="17233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Georgia" w:hAnsi="Georgia"/>
      <w:b/>
      <w:bCs/>
      <w:color w:val="17233C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