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 w:after="40"/>
        <w:jc w:val="center"/>
      </w:pPr>
      <w:r>
        <w:rPr>
          <w:rFonts w:ascii="Arial" w:hAnsi="Arial"/>
          <w:b/>
          <w:color w:val="397CDD"/>
          <w:sz w:val="16"/>
        </w:rPr>
        <w:t>ADMINISTRATIVO</w:t>
      </w:r>
    </w:p>
    <w:p>
      <w:pPr>
        <w:keepNext/>
        <w:spacing w:after="120"/>
        <w:jc w:val="center"/>
      </w:pPr>
      <w:r>
        <w:rPr>
          <w:rFonts w:ascii="Georgia" w:hAnsi="Georgia"/>
          <w:b/>
          <w:color w:val="17233C"/>
          <w:sz w:val="42"/>
        </w:rPr>
        <w:t>Recurso potestativo de reposición administrativo</w:t>
      </w:r>
    </w:p>
    <w:p>
      <w:pPr>
        <w:spacing w:after="240"/>
        <w:jc w:val="center"/>
      </w:pPr>
      <w:r>
        <w:rPr>
          <w:rFonts w:ascii="Arial" w:hAnsi="Arial"/>
          <w:color w:val="667085"/>
          <w:sz w:val="21"/>
        </w:rPr>
        <w:t>Recurso ante el mismo órgano contra un acto que pone fin a la vía administrativa.</w:t>
      </w:r>
    </w:p>
    <w:tbl>
      <w:tblPr>
        <w:tblW w:type="dxa" w:w="9533"/>
        <w:tblLayout w:type="fixed"/>
        <w:tblLook w:firstColumn="1" w:firstRow="1" w:lastColumn="0" w:lastRow="0" w:noHBand="0" w:noVBand="1" w:val="04A0"/>
        <w:tblInd w:w="0" w:type="dxa"/>
      </w:tblPr>
      <w:tblGrid>
        <w:gridCol w:w="9533"/>
      </w:tblGrid>
      <w:tr>
        <w:tc>
          <w:tcPr>
            <w:tcW w:type="dxa" w:w="9533"/>
            <w:shd w:fill="F5F0E8"/>
            <w:tcMar>
              <w:top w:w="135" w:type="dxa"/>
              <w:start w:w="170" w:type="dxa"/>
              <w:bottom w:w="135" w:type="dxa"/>
              <w:end w:w="170" w:type="dxa"/>
            </w:tcMar>
            <w:vAlign w:val="center"/>
          </w:tcPr>
          <w:p>
            <w:pPr>
              <w:spacing w:after="80"/>
            </w:pPr>
            <w:r>
              <w:rPr>
                <w:rFonts w:ascii="Arial" w:hAnsi="Arial"/>
                <w:b/>
                <w:color w:val="17233C"/>
                <w:sz w:val="21"/>
              </w:rPr>
              <w:t>GUÍA DE USO · NO FORMA PARTE DEL ESCRITO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Documento editable y orientativo. Sustituye todos los campos azules y elimina las alternativas que no correspondan.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Comprueba destinatario, procedimiento, plazo, hechos, documentos y forma de presentación. Un modelo no determina por sí solo la estrategia ni interrumpe automáticamente ningún plazo.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Destinatario habitual: Órgano que dictó el acto.</w:t>
            </w:r>
          </w:p>
        </w:tc>
      </w:tr>
    </w:tbl>
    <w:p>
      <w:pPr>
        <w:spacing w:after="0"/>
      </w:pPr>
    </w:p>
    <w:p>
      <w:pPr>
        <w:keepNext/>
        <w:spacing w:before="160" w:after="160"/>
        <w:jc w:val="center"/>
        <w:pBdr>
          <w:bottom w:val="single" w:sz="10" w:space="5" w:color="D7A46D"/>
        </w:pBdr>
      </w:pPr>
      <w:r>
        <w:rPr>
          <w:rFonts w:ascii="Georgia" w:hAnsi="Georgia"/>
          <w:b/>
          <w:color w:val="17233C"/>
          <w:sz w:val="31"/>
        </w:rPr>
        <w:t>BORRADOR EDITABLE</w:t>
      </w:r>
    </w:p>
    <w:p>
      <w:pPr>
        <w:spacing w:after="240"/>
        <w:jc w:val="center"/>
      </w:pPr>
      <w:r>
        <w:rPr>
          <w:rFonts w:ascii="Arial" w:hAnsi="Arial"/>
          <w:b/>
          <w:color w:val="667085"/>
          <w:sz w:val="16"/>
        </w:rPr>
        <w:t>DESDE AQUÍ COMIENZA EL TEXTO DEL DOCUMENTO</w:t>
      </w:r>
    </w:p>
    <w:p>
      <w:pPr>
        <w:pStyle w:val="Heading2"/>
      </w:pPr>
      <w:r>
        <w:t>Acto recurrido</w:t>
      </w:r>
    </w:p>
    <w:p>
      <w:pPr>
        <w:jc w:val="both"/>
      </w:pPr>
      <w:r>
        <w:rPr>
          <w:rFonts w:ascii="Arial" w:hAnsi="Arial"/>
        </w:rPr>
        <w:t xml:space="preserve">Resolución de </w:t>
      </w:r>
      <w:r>
        <w:rPr>
          <w:rFonts w:ascii="Arial" w:hAnsi="Arial"/>
          <w:b/>
          <w:color w:val="397CDD"/>
          <w:shd w:fill="E5EFFC"/>
        </w:rPr>
        <w:t>{{ORGANO}}</w:t>
      </w:r>
      <w:r>
        <w:rPr>
          <w:rFonts w:ascii="Arial" w:hAnsi="Arial"/>
        </w:rPr>
        <w:t xml:space="preserve">, fecha </w:t>
      </w:r>
      <w:r>
        <w:rPr>
          <w:rFonts w:ascii="Arial" w:hAnsi="Arial"/>
          <w:b/>
          <w:color w:val="397CDD"/>
          <w:shd w:fill="E5EFFC"/>
        </w:rPr>
        <w:t>{{FECHA}}</w:t>
      </w:r>
      <w:r>
        <w:rPr>
          <w:rFonts w:ascii="Arial" w:hAnsi="Arial"/>
        </w:rPr>
        <w:t xml:space="preserve">, notificación </w:t>
      </w:r>
      <w:r>
        <w:rPr>
          <w:rFonts w:ascii="Arial" w:hAnsi="Arial"/>
          <w:b/>
          <w:color w:val="397CDD"/>
          <w:shd w:fill="E5EFFC"/>
        </w:rPr>
        <w:t>{{FECHA_NOTIFICACION}}</w:t>
      </w:r>
      <w:r>
        <w:rPr>
          <w:rFonts w:ascii="Arial" w:hAnsi="Arial"/>
        </w:rPr>
        <w:t xml:space="preserve">, expediente </w:t>
      </w:r>
      <w:r>
        <w:rPr>
          <w:rFonts w:ascii="Arial" w:hAnsi="Arial"/>
          <w:b/>
          <w:color w:val="397CDD"/>
          <w:shd w:fill="E5EFFC"/>
        </w:rPr>
        <w:t>{{EXPEDIENTE}}</w:t>
      </w:r>
      <w:r>
        <w:rPr>
          <w:rFonts w:ascii="Arial" w:hAnsi="Arial"/>
        </w:rPr>
        <w:t>.</w:t>
      </w:r>
    </w:p>
    <w:p>
      <w:pPr>
        <w:pStyle w:val="Heading2"/>
      </w:pPr>
      <w:r>
        <w:t>Procedencia y plazo</w:t>
      </w:r>
    </w:p>
    <w:p>
      <w:pPr>
        <w:jc w:val="both"/>
      </w:pPr>
      <w:r>
        <w:rPr>
          <w:rFonts w:ascii="Arial" w:hAnsi="Arial"/>
        </w:rPr>
        <w:t>El acto pone fin a la vía administrativa y se interpone reposición dentro del plazo aplicable.</w:t>
      </w:r>
    </w:p>
    <w:p>
      <w:pPr>
        <w:pStyle w:val="Heading2"/>
      </w:pPr>
      <w:r>
        <w:t>Motivos</w:t>
      </w:r>
    </w:p>
    <w:p>
      <w:pPr>
        <w:jc w:val="both"/>
      </w:pPr>
      <w:r>
        <w:rPr>
          <w:rFonts w:ascii="Arial" w:hAnsi="Arial"/>
        </w:rPr>
        <w:t xml:space="preserve">Primero. </w:t>
      </w:r>
      <w:r>
        <w:rPr>
          <w:rFonts w:ascii="Arial" w:hAnsi="Arial"/>
          <w:b/>
          <w:color w:val="397CDD"/>
          <w:shd w:fill="E5EFFC"/>
        </w:rPr>
        <w:t>{{MOTIVO_1}}</w:t>
      </w:r>
      <w:r>
        <w:rPr>
          <w:rFonts w:ascii="Arial" w:hAnsi="Arial"/>
        </w:rPr>
        <w:t>.</w:t>
      </w:r>
    </w:p>
    <w:p>
      <w:pPr>
        <w:jc w:val="both"/>
      </w:pPr>
      <w:r>
        <w:rPr>
          <w:rFonts w:ascii="Arial" w:hAnsi="Arial"/>
        </w:rPr>
        <w:t xml:space="preserve">Segundo. </w:t>
      </w:r>
      <w:r>
        <w:rPr>
          <w:rFonts w:ascii="Arial" w:hAnsi="Arial"/>
          <w:b/>
          <w:color w:val="397CDD"/>
          <w:shd w:fill="E5EFFC"/>
        </w:rPr>
        <w:t>{{MOTIVO_2}}</w:t>
      </w:r>
      <w:r>
        <w:rPr>
          <w:rFonts w:ascii="Arial" w:hAnsi="Arial"/>
        </w:rPr>
        <w:t>.</w:t>
      </w:r>
    </w:p>
    <w:p>
      <w:pPr>
        <w:jc w:val="both"/>
      </w:pPr>
      <w:r>
        <w:rPr>
          <w:rFonts w:ascii="Arial" w:hAnsi="Arial"/>
        </w:rPr>
        <w:t xml:space="preserve">Tercero. </w:t>
      </w:r>
      <w:r>
        <w:rPr>
          <w:rFonts w:ascii="Arial" w:hAnsi="Arial"/>
          <w:b/>
          <w:color w:val="397CDD"/>
          <w:shd w:fill="E5EFFC"/>
        </w:rPr>
        <w:t>{{MOTIVO_3}}</w:t>
      </w:r>
      <w:r>
        <w:rPr>
          <w:rFonts w:ascii="Arial" w:hAnsi="Arial"/>
        </w:rPr>
        <w:t>.</w:t>
      </w:r>
    </w:p>
    <w:p>
      <w:pPr>
        <w:pStyle w:val="Heading2"/>
      </w:pPr>
      <w:r>
        <w:t>Solicitud</w:t>
      </w:r>
    </w:p>
    <w:p>
      <w:pPr>
        <w:jc w:val="both"/>
      </w:pPr>
      <w:r>
        <w:rPr>
          <w:rFonts w:ascii="Arial" w:hAnsi="Arial"/>
        </w:rPr>
        <w:t xml:space="preserve">Se solicita revocar o modificar el acto y </w:t>
      </w:r>
      <w:r>
        <w:rPr>
          <w:rFonts w:ascii="Arial" w:hAnsi="Arial"/>
          <w:b/>
          <w:color w:val="397CDD"/>
          <w:shd w:fill="E5EFFC"/>
        </w:rPr>
        <w:t>{{PETICION}}</w:t>
      </w:r>
      <w:r>
        <w:rPr>
          <w:rFonts w:ascii="Arial" w:hAnsi="Arial"/>
        </w:rPr>
        <w:t xml:space="preserve">. Subsidiariamente, </w:t>
      </w:r>
      <w:r>
        <w:rPr>
          <w:rFonts w:ascii="Arial" w:hAnsi="Arial"/>
          <w:b/>
          <w:color w:val="397CDD"/>
          <w:shd w:fill="E5EFFC"/>
        </w:rPr>
        <w:t>{{PETICION_SUBSIDIARIA}}</w:t>
      </w:r>
      <w:r>
        <w:rPr>
          <w:rFonts w:ascii="Arial" w:hAnsi="Arial"/>
        </w:rPr>
        <w:t>.</w:t>
      </w:r>
    </w:p>
    <w:p>
      <w:pPr>
        <w:pStyle w:val="Heading2"/>
      </w:pPr>
      <w:r>
        <w:t>Suspensión</w:t>
      </w:r>
    </w:p>
    <w:p>
      <w:pPr>
        <w:jc w:val="both"/>
      </w:pPr>
      <w:r>
        <w:rPr>
          <w:rFonts w:ascii="Arial" w:hAnsi="Arial"/>
        </w:rPr>
        <w:t xml:space="preserve">Se solicita o no suspensión: </w:t>
      </w:r>
      <w:r>
        <w:rPr>
          <w:rFonts w:ascii="Arial" w:hAnsi="Arial"/>
          <w:b/>
          <w:color w:val="397CDD"/>
          <w:shd w:fill="E5EFFC"/>
        </w:rPr>
        <w:t>{{SUSPENSION}}</w:t>
      </w:r>
      <w:r>
        <w:rPr>
          <w:rFonts w:ascii="Arial" w:hAnsi="Arial"/>
        </w:rPr>
        <w:t xml:space="preserve">, por </w:t>
      </w:r>
      <w:r>
        <w:rPr>
          <w:rFonts w:ascii="Arial" w:hAnsi="Arial"/>
          <w:b/>
          <w:color w:val="397CDD"/>
          <w:shd w:fill="E5EFFC"/>
        </w:rPr>
        <w:t>{{FUNDAMENTO_SUSPENSION}}</w:t>
      </w:r>
      <w:r>
        <w:rPr>
          <w:rFonts w:ascii="Arial" w:hAnsi="Arial"/>
        </w:rPr>
        <w:t>.</w:t>
      </w:r>
    </w:p>
    <w:p>
      <w:pPr>
        <w:pStyle w:val="Heading2"/>
      </w:pPr>
      <w:r>
        <w:t>Petición o acuerdo final</w:t>
      </w:r>
    </w:p>
    <w:p>
      <w:r>
        <w:rPr>
          <w:rFonts w:ascii="Arial" w:hAnsi="Arial"/>
        </w:rPr>
        <w:t xml:space="preserve">En </w:t>
      </w:r>
      <w:r>
        <w:rPr>
          <w:rFonts w:ascii="Arial" w:hAnsi="Arial"/>
          <w:b/>
          <w:color w:val="397CDD"/>
          <w:shd w:fill="E5EFFC"/>
        </w:rPr>
        <w:t>{{LOCALIDAD}}</w:t>
      </w:r>
      <w:r>
        <w:rPr>
          <w:rFonts w:ascii="Arial" w:hAnsi="Arial"/>
        </w:rPr>
        <w:t xml:space="preserve">, a </w:t>
      </w:r>
      <w:r>
        <w:rPr>
          <w:rFonts w:ascii="Arial" w:hAnsi="Arial"/>
          <w:b/>
          <w:color w:val="397CDD"/>
          <w:shd w:fill="E5EFFC"/>
        </w:rPr>
        <w:t>{{FECHA_FIRMA}}</w:t>
      </w:r>
      <w:r>
        <w:rPr>
          <w:rFonts w:ascii="Arial" w:hAnsi="Arial"/>
        </w:rPr>
        <w:t xml:space="preserve">. Se firma o presenta por </w:t>
      </w:r>
      <w:r>
        <w:rPr>
          <w:rFonts w:ascii="Arial" w:hAnsi="Arial"/>
          <w:b/>
          <w:color w:val="397CDD"/>
          <w:shd w:fill="E5EFFC"/>
        </w:rPr>
        <w:t>{{FIRMANTES_O_REPRESENTANTE}}</w:t>
      </w:r>
      <w:r>
        <w:rPr>
          <w:rFonts w:ascii="Arial" w:hAnsi="Arial"/>
        </w:rPr>
        <w:t>.</w:t>
      </w:r>
    </w:p>
    <w:tbl>
      <w:tblPr>
        <w:tblW w:type="dxa" w:w="9532"/>
        <w:tblLayout w:type="fixed"/>
        <w:tblLook w:firstColumn="1" w:firstRow="1" w:lastColumn="0" w:lastRow="0" w:noHBand="0" w:noVBand="1" w:val="04A0"/>
        <w:tblInd w:w="0" w:type="dxa"/>
      </w:tblPr>
      <w:tblGrid>
        <w:gridCol w:w="4766"/>
        <w:gridCol w:w="4766"/>
      </w:tblGrid>
      <w:tr>
        <w:tc>
          <w:tcPr>
            <w:tcW w:type="dxa" w:w="4766"/>
            <w:shd w:fill="EFF4F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18"/>
              </w:rPr>
              <w:t>Firma / identificación</w:t>
            </w:r>
          </w:p>
        </w:tc>
        <w:tc>
          <w:tcPr>
            <w:tcW w:type="dxa" w:w="4766"/>
            <w:shd w:fill="EFF4F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18"/>
              </w:rPr>
              <w:t>Firma / representación</w:t>
            </w:r>
          </w:p>
        </w:tc>
      </w:tr>
      <w:tr>
        <w:tc>
          <w:tcPr>
            <w:tcW w:type="dxa" w:w="4766"/>
            <w:tcMar>
              <w:top w:w="300" w:type="dxa"/>
              <w:start w:w="140" w:type="dxa"/>
              <w:bottom w:w="320" w:type="dxa"/>
              <w:end w:w="140" w:type="dxa"/>
            </w:tcMar>
          </w:tcPr>
          <w:p>
            <w:r>
              <w:rPr>
                <w:rFonts w:ascii="Arial" w:hAnsi="Arial"/>
                <w:b/>
                <w:color w:val="397CDD"/>
                <w:shd w:fill="E5EFFC"/>
              </w:rPr>
              <w:t>{{NOMBRE_Y_FIRMA}}</w:t>
            </w:r>
          </w:p>
        </w:tc>
        <w:tc>
          <w:tcPr>
            <w:tcW w:type="dxa" w:w="4766"/>
            <w:tcMar>
              <w:top w:w="300" w:type="dxa"/>
              <w:start w:w="140" w:type="dxa"/>
              <w:bottom w:w="320" w:type="dxa"/>
              <w:end w:w="140" w:type="dxa"/>
            </w:tcMar>
          </w:tcPr>
          <w:p>
            <w:r>
              <w:rPr>
                <w:rFonts w:ascii="Arial" w:hAnsi="Arial"/>
                <w:b/>
                <w:color w:val="397CDD"/>
                <w:shd w:fill="E5EFFC"/>
              </w:rPr>
              <w:t>{{NOMBRE_Y_FIRMA}}</w:t>
            </w:r>
          </w:p>
        </w:tc>
      </w:tr>
    </w:tbl>
    <w:p>
      <w:r>
        <w:br w:type="page"/>
      </w:r>
    </w:p>
    <w:p>
      <w:pPr>
        <w:keepNext/>
        <w:spacing w:before="160" w:after="160"/>
        <w:jc w:val="center"/>
        <w:pBdr>
          <w:bottom w:val="single" w:sz="10" w:space="5" w:color="D7A46D"/>
        </w:pBdr>
      </w:pPr>
      <w:r>
        <w:rPr>
          <w:rFonts w:ascii="Georgia" w:hAnsi="Georgia"/>
          <w:b/>
          <w:color w:val="17233C"/>
          <w:sz w:val="31"/>
        </w:rPr>
        <w:t>GUÍA DE REVISIÓN</w:t>
      </w:r>
    </w:p>
    <w:p>
      <w:pPr>
        <w:spacing w:after="240"/>
        <w:jc w:val="center"/>
      </w:pPr>
      <w:r>
        <w:rPr>
          <w:rFonts w:ascii="Arial" w:hAnsi="Arial"/>
          <w:b/>
          <w:color w:val="667085"/>
          <w:sz w:val="16"/>
        </w:rPr>
        <w:t>MATERIAL DE APOYO · ELIMINA ESTA PARTE ANTES DE FIRMAR O PRESENTAR</w:t>
      </w:r>
    </w:p>
    <w:p>
      <w:pPr>
        <w:pStyle w:val="Heading1"/>
      </w:pPr>
      <w:r>
        <w:t>Comprobación antes de firmar o presentar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Comprobar que pone fin a la vía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Un mes si el acto es expreso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No haber elegido ya la vía incompatible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Documentos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Justificante de presentación</w:t>
      </w:r>
    </w:p>
    <w:tbl>
      <w:tblPr>
        <w:tblW w:type="dxa" w:w="9533"/>
        <w:tblLayout w:type="fixed"/>
        <w:tblLook w:firstColumn="1" w:firstRow="1" w:lastColumn="0" w:lastRow="0" w:noHBand="0" w:noVBand="1" w:val="04A0"/>
        <w:tblInd w:w="0" w:type="dxa"/>
      </w:tblPr>
      <w:tblGrid>
        <w:gridCol w:w="9533"/>
      </w:tblGrid>
      <w:tr>
        <w:tc>
          <w:tcPr>
            <w:tcW w:type="dxa" w:w="9533"/>
            <w:shd w:fill="EFF4FC"/>
            <w:tcMar>
              <w:top w:w="135" w:type="dxa"/>
              <w:start w:w="170" w:type="dxa"/>
              <w:bottom w:w="135" w:type="dxa"/>
              <w:end w:w="170" w:type="dxa"/>
            </w:tcMar>
            <w:vAlign w:val="center"/>
          </w:tcPr>
          <w:p>
            <w:pPr>
              <w:spacing w:after="80"/>
            </w:pPr>
            <w:r>
              <w:rPr>
                <w:rFonts w:ascii="Arial" w:hAnsi="Arial"/>
                <w:b/>
                <w:color w:val="17233C"/>
                <w:sz w:val="21"/>
              </w:rPr>
              <w:t>Puntos que requieren especial atención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La reposición es potestativa, pero condiciona el acceso inmediato al contencioso mientras se resuelve o desestima por silencio.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No puede interponerse otra reposición contra su resolución.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Comprueba reglas especiales del procedimiento.</w:t>
            </w:r>
          </w:p>
        </w:tc>
      </w:tr>
    </w:tbl>
    <w:p>
      <w:pPr>
        <w:spacing w:after="0"/>
      </w:pPr>
    </w:p>
    <w:p>
      <w:pPr>
        <w:pStyle w:val="Heading1"/>
      </w:pPr>
      <w:r>
        <w:t>Fuentes de referencia</w:t>
      </w:r>
    </w:p>
    <w:p>
      <w:r>
        <w:rPr>
          <w:b/>
        </w:rPr>
        <w:t>Ley 39/2015, arts. 123-124</w:t>
      </w:r>
      <w:r>
        <w:t xml:space="preserve"> — https://www.boe.es/buscar/act.php?id=BOE-A-2015-10565</w:t>
      </w:r>
    </w:p>
    <w:p>
      <w:pPr>
        <w:spacing w:before="120"/>
      </w:pPr>
      <w:r>
        <w:rPr>
          <w:i/>
          <w:color w:val="667085"/>
          <w:sz w:val="16"/>
        </w:rPr>
        <w:t>Versión revisada: 2026-08-24. Información jurídica general; normativa y procedimiento deben comprobarse en la fecha de uso.</w:t>
      </w:r>
    </w:p>
    <w:sectPr w:rsidR="00FC693F" w:rsidRPr="0006063C" w:rsidSect="00034616">
      <w:headerReference w:type="default" r:id="rId9"/>
      <w:footerReference w:type="default" r:id="rId10"/>
      <w:pgSz w:w="11905" w:h="16838"/>
      <w:pgMar w:top="1008" w:right="1187" w:bottom="950" w:left="1187" w:header="389" w:footer="38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9533"/>
      <w:tblLayout w:type="fixed"/>
      <w:tblLook w:firstColumn="1" w:firstRow="1" w:lastColumn="0" w:lastRow="0" w:noHBand="0" w:noVBand="1" w:val="04A0"/>
      <w:tblInd w:w="0" w:type="dxa"/>
    </w:tblPr>
    <w:tblGrid>
      <w:gridCol w:w="8237"/>
      <w:gridCol w:w="1296"/>
    </w:tblGrid>
    <w:tr>
      <w:tc>
        <w:tcPr>
          <w:tcW w:type="dxa" w:w="8237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</w:pPr>
          <w:r>
            <w:rPr>
              <w:rFonts w:ascii="Arial" w:hAnsi="Arial"/>
              <w:color w:val="667085"/>
              <w:sz w:val="14"/>
            </w:rPr>
            <w:t>Modelo orientativo · Revisión profesional recomendada · perezburgosabogados.es</w:t>
          </w:r>
        </w:p>
      </w:tc>
      <w:tc>
        <w:tcPr>
          <w:tcW w:type="dxa" w:w="1296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Georgia" w:hAnsi="Georgia"/>
        <w:b/>
        <w:color w:val="17233C"/>
        <w:sz w:val="18"/>
      </w:rPr>
      <w:t>PÉREZ &amp; BURGOS</w:t>
    </w:r>
    <w:r>
      <w:rPr>
        <w:rFonts w:ascii="Arial" w:hAnsi="Arial"/>
        <w:b/>
        <w:color w:val="397CDD"/>
        <w:sz w:val="15"/>
      </w:rPr>
      <w:t xml:space="preserve">  ·  MODELOS JURÍDICOS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8" w:lineRule="auto"/>
      <w:jc w:val="both"/>
    </w:pPr>
    <w:rPr>
      <w:rFonts w:ascii="Arial" w:hAnsi="Arial"/>
      <w:color w:val="263044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40"/>
      <w:outlineLvl w:val="0"/>
    </w:pPr>
    <w:rPr>
      <w:rFonts w:asciiTheme="majorHAnsi" w:eastAsiaTheme="majorEastAsia" w:hAnsiTheme="majorHAnsi" w:cstheme="majorBidi" w:ascii="Georgia" w:hAnsi="Georgia"/>
      <w:b/>
      <w:bCs/>
      <w:color w:val="17233C"/>
      <w:sz w:val="3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Georgia" w:hAnsi="Georgia"/>
      <w:b/>
      <w:bCs/>
      <w:color w:val="17233C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Georgia" w:hAnsi="Georgia"/>
      <w:b/>
      <w:bCs/>
      <w:color w:val="17233C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Modelo jurídico editable de Pérez &amp; Burgos Abogados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