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397CDD"/>
          <w:sz w:val="16"/>
        </w:rPr>
        <w:t>ADMINISTRATIVO</w:t>
      </w:r>
    </w:p>
    <w:p>
      <w:pPr>
        <w:pStyle w:val="Title"/>
        <w:jc w:val="center"/>
      </w:pPr>
      <w:r>
        <w:rPr>
          <w:rFonts w:ascii="Georgia" w:hAnsi="Georgia"/>
          <w:b/>
          <w:color w:val="102E3C"/>
          <w:sz w:val="42"/>
        </w:rPr>
        <w:t>Recurso relacionado con subvenciones o ayudas</w:t>
      </w:r>
    </w:p>
    <w:p>
      <w:pPr>
        <w:jc w:val="center"/>
      </w:pPr>
      <w:r>
        <w:rPr>
          <w:rFonts w:ascii="Arial" w:hAnsi="Arial"/>
          <w:color w:val="68777D"/>
          <w:sz w:val="20"/>
        </w:rPr>
        <w:t>Impugnar en vía administrativa una resolución de ayuda, puntuación definitiva o reintegro, seleccionando una única vía procedente.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547"/>
      </w:tblGrid>
      <w:tr>
        <w:tc>
          <w:tcPr>
            <w:tcW w:type="dxa" w:w="9547"/>
            <w:shd w:fill="F4EFE7"/>
          </w:tcPr>
          <w:p>
            <w:r>
              <w:rPr>
                <w:rFonts w:ascii="Arial" w:hAnsi="Arial"/>
                <w:b/>
                <w:color w:val="102E3C"/>
                <w:sz w:val="20"/>
              </w:rPr>
              <w:t>MODELO EDITABLE · GUÍA DE USO</w:t>
            </w:r>
          </w:p>
          <w:p>
            <w:r>
              <w:rPr>
                <w:rFonts w:ascii="Arial" w:hAnsi="Arial"/>
                <w:color w:val="263A43"/>
                <w:sz w:val="20"/>
              </w:rPr>
              <w:t>Propuesta provisional aún en alegaciones, prestación de Seguridad Social, ayuda tributaria o procedimiento especial no revisado; no sirve como demanda.</w:t>
            </w:r>
          </w:p>
          <w:p>
            <w:r>
              <w:rPr>
                <w:rFonts w:ascii="Arial" w:hAnsi="Arial"/>
                <w:color w:val="263A43"/>
                <w:sz w:val="20"/>
              </w:rPr>
              <w:t>Completa solo datos comprobados, elimina alternativas incompatibles y conserva una copia y el justificante de presentación.</w:t>
            </w:r>
          </w:p>
        </w:tc>
      </w:tr>
    </w:tbl>
    <w:p>
      <w:pPr>
        <w:pStyle w:val="Heading1"/>
        <w:jc w:val="center"/>
      </w:pPr>
      <w:r>
        <w:t>MODELO EDITABLE</w:t>
      </w:r>
    </w:p>
    <w:p>
      <w:pPr>
        <w:pStyle w:val="Heading2"/>
      </w:pPr>
      <w:r>
        <w:t>AL ÓRGANO [COMPETENTE]</w:t>
      </w:r>
    </w:p>
    <w:p>
      <w:pPr>
        <w:pStyle w:val="Heading2"/>
      </w:pPr>
      <w:r>
        <w:t>RECURSO [DE ALZADA / POTESTATIVO DE REPOSICIÓN; CONSERVAR SOLO EL PROCEDENTE]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Ayuda o subvención: </w:t>
      </w:r>
      <w:r>
        <w:rPr>
          <w:rFonts w:ascii="Arial" w:hAnsi="Arial"/>
          <w:b/>
          <w:color w:val="397CDD"/>
          <w:sz w:val="20"/>
          <w:shd w:fill="E8F0FB"/>
        </w:rPr>
        <w:t>[CONVOCATORIA]</w:t>
      </w:r>
      <w:r>
        <w:rPr>
          <w:rFonts w:ascii="Arial" w:hAnsi="Arial"/>
          <w:color w:val="263A43"/>
          <w:sz w:val="20"/>
        </w:rPr>
        <w:t xml:space="preserve">. Expediente: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D./D.ª </w:t>
      </w:r>
      <w:r>
        <w:rPr>
          <w:rFonts w:ascii="Arial" w:hAnsi="Arial"/>
          <w:b/>
          <w:color w:val="397CDD"/>
          <w:sz w:val="20"/>
          <w:shd w:fill="E8F0FB"/>
        </w:rPr>
        <w:t>[NOMBRE O RAZÓN SOCIAL]</w:t>
      </w:r>
      <w:r>
        <w:rPr>
          <w:rFonts w:ascii="Arial" w:hAnsi="Arial"/>
          <w:color w:val="263A43"/>
          <w:sz w:val="20"/>
        </w:rPr>
        <w:t xml:space="preserve">, DNI/NIE/NIF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representada, en su caso, por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con acreditación adjunta, medio de notificación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, comparece y</w:t>
      </w:r>
    </w:p>
    <w:p>
      <w:pPr>
        <w:pStyle w:val="Heading2"/>
      </w:pPr>
      <w:r>
        <w:t>EXPONE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Primero. Se recurre la resolución de </w:t>
      </w:r>
      <w:r>
        <w:rPr>
          <w:rFonts w:ascii="Arial" w:hAnsi="Arial"/>
          <w:b/>
          <w:color w:val="397CDD"/>
          <w:sz w:val="20"/>
          <w:shd w:fill="E8F0FB"/>
        </w:rPr>
        <w:t>[ÓRGANO]</w:t>
      </w:r>
      <w:r>
        <w:rPr>
          <w:rFonts w:ascii="Arial" w:hAnsi="Arial"/>
          <w:color w:val="263A43"/>
          <w:sz w:val="20"/>
        </w:rPr>
        <w:t xml:space="preserve">, de fecha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notificada el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que acuerda </w:t>
      </w:r>
      <w:r>
        <w:rPr>
          <w:rFonts w:ascii="Arial" w:hAnsi="Arial"/>
          <w:b/>
          <w:color w:val="397CDD"/>
          <w:sz w:val="20"/>
          <w:shd w:fill="E8F0FB"/>
        </w:rPr>
        <w:t>[DENEGACIÓN, EXCLUSIÓN, CONCESIÓN PARCIAL O REINTEGRO CON IMPORTE]</w:t>
      </w:r>
      <w:r>
        <w:rPr>
          <w:rFonts w:ascii="Arial" w:hAnsi="Arial"/>
          <w:color w:val="263A43"/>
          <w:sz w:val="20"/>
        </w:rPr>
        <w:t>. Se acompaña copia íntegra y justificante de notificación.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Segundo. Procede el recurso elegido porque el acto </w:t>
      </w:r>
      <w:r>
        <w:rPr>
          <w:rFonts w:ascii="Arial" w:hAnsi="Arial"/>
          <w:b/>
          <w:color w:val="397CDD"/>
          <w:sz w:val="20"/>
          <w:shd w:fill="E8F0FB"/>
        </w:rPr>
        <w:t>[NO AGOTA / AGOTA]</w:t>
      </w:r>
      <w:r>
        <w:rPr>
          <w:rFonts w:ascii="Arial" w:hAnsi="Arial"/>
          <w:color w:val="263A43"/>
          <w:sz w:val="20"/>
        </w:rPr>
        <w:t xml:space="preserve"> la vía administrativa conforme a </w:t>
      </w:r>
      <w:r>
        <w:rPr>
          <w:rFonts w:ascii="Arial" w:hAnsi="Arial"/>
          <w:b/>
          <w:color w:val="397CDD"/>
          <w:sz w:val="20"/>
          <w:shd w:fill="E8F0FB"/>
        </w:rPr>
        <w:t>[NORMA O PIE DE RECURSOS COMPROBADO]</w:t>
      </w:r>
      <w:r>
        <w:rPr>
          <w:rFonts w:ascii="Arial" w:hAnsi="Arial"/>
          <w:color w:val="263A43"/>
          <w:sz w:val="20"/>
        </w:rPr>
        <w:t xml:space="preserve">. Se presenta dentro de plazo. </w:t>
      </w:r>
      <w:r>
        <w:rPr>
          <w:rFonts w:ascii="Arial" w:hAnsi="Arial"/>
          <w:b/>
          <w:color w:val="397CDD"/>
          <w:sz w:val="20"/>
          <w:shd w:fill="E8F0FB"/>
        </w:rPr>
        <w:t>[EN REPOSICIÓN, SOLO SI ES CIERTO: no se ha interpuesto recurso contencioso-administrativo contra el mismo acto]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Tercero. La solicitud presentada el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tenía por objeto </w:t>
      </w:r>
      <w:r>
        <w:rPr>
          <w:rFonts w:ascii="Arial" w:hAnsi="Arial"/>
          <w:b/>
          <w:color w:val="397CDD"/>
          <w:sz w:val="20"/>
          <w:shd w:fill="E8F0FB"/>
        </w:rPr>
        <w:t>[PROYECTO O NECESIDAD]</w:t>
      </w:r>
      <w:r>
        <w:rPr>
          <w:rFonts w:ascii="Arial" w:hAnsi="Arial"/>
          <w:color w:val="263A43"/>
          <w:sz w:val="20"/>
        </w:rPr>
        <w:t xml:space="preserve">, por importe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al amparo de </w:t>
      </w:r>
      <w:r>
        <w:rPr>
          <w:rFonts w:ascii="Arial" w:hAnsi="Arial"/>
          <w:b/>
          <w:color w:val="397CDD"/>
          <w:sz w:val="20"/>
          <w:shd w:fill="E8F0FB"/>
        </w:rPr>
        <w:t>[BASES Y CONVOCATORIA]</w:t>
      </w:r>
      <w:r>
        <w:rPr>
          <w:rFonts w:ascii="Arial" w:hAnsi="Arial"/>
          <w:color w:val="263A43"/>
          <w:sz w:val="20"/>
        </w:rPr>
        <w:t xml:space="preserve">. Los requisitos, gastos o méritos relevantes y su fecha de cumplimiento son </w:t>
      </w:r>
      <w:r>
        <w:rPr>
          <w:rFonts w:ascii="Arial" w:hAnsi="Arial"/>
          <w:b/>
          <w:color w:val="397CDD"/>
          <w:sz w:val="20"/>
          <w:shd w:fill="E8F0FB"/>
        </w:rPr>
        <w:t>[RELACIÓN]</w:t>
      </w:r>
      <w:r>
        <w:rPr>
          <w:rFonts w:ascii="Arial" w:hAnsi="Arial"/>
          <w:color w:val="263A43"/>
          <w:sz w:val="20"/>
        </w:rPr>
        <w:t xml:space="preserve">. Los documentos que constaban en el expediente antes del cierre del trámite eran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</w:pPr>
      <w:r>
        <w:t>ALEGACIONES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Primera. Error concreto de apreciación. La resolución afirma </w:t>
      </w:r>
      <w:r>
        <w:rPr>
          <w:rFonts w:ascii="Arial" w:hAnsi="Arial"/>
          <w:b/>
          <w:color w:val="397CDD"/>
          <w:sz w:val="20"/>
          <w:shd w:fill="E8F0FB"/>
        </w:rPr>
        <w:t>[MOTIVO LITERAL IDENTIFICADO SIN REPRODUCCIÓN INNECESARIA]</w:t>
      </w:r>
      <w:r>
        <w:rPr>
          <w:rFonts w:ascii="Arial" w:hAnsi="Arial"/>
          <w:color w:val="263A43"/>
          <w:sz w:val="20"/>
        </w:rPr>
        <w:t xml:space="preserve">. Sin embargo, el documento </w:t>
      </w:r>
      <w:r>
        <w:rPr>
          <w:rFonts w:ascii="Arial" w:hAnsi="Arial"/>
          <w:b/>
          <w:color w:val="397CDD"/>
          <w:sz w:val="20"/>
          <w:shd w:fill="E8F0FB"/>
        </w:rPr>
        <w:t>[NÚMERO, FECHA Y APARTADO]</w:t>
      </w:r>
      <w:r>
        <w:rPr>
          <w:rFonts w:ascii="Arial" w:hAnsi="Arial"/>
          <w:color w:val="263A43"/>
          <w:sz w:val="20"/>
        </w:rPr>
        <w:t xml:space="preserve"> acredita </w:t>
      </w:r>
      <w:r>
        <w:rPr>
          <w:rFonts w:ascii="Arial" w:hAnsi="Arial"/>
          <w:b/>
          <w:color w:val="397CDD"/>
          <w:sz w:val="20"/>
          <w:shd w:fill="E8F0FB"/>
        </w:rPr>
        <w:t>[HECHO]</w:t>
      </w:r>
      <w:r>
        <w:rPr>
          <w:rFonts w:ascii="Arial" w:hAnsi="Arial"/>
          <w:color w:val="263A43"/>
          <w:sz w:val="20"/>
        </w:rPr>
        <w:t xml:space="preserve">. Su consideración conduce a </w:t>
      </w:r>
      <w:r>
        <w:rPr>
          <w:rFonts w:ascii="Arial" w:hAnsi="Arial"/>
          <w:b/>
          <w:color w:val="397CDD"/>
          <w:sz w:val="20"/>
          <w:shd w:fill="E8F0FB"/>
        </w:rPr>
        <w:t>[CONSECUENCIA CONCRETA]</w:t>
      </w:r>
      <w:r>
        <w:rPr>
          <w:rFonts w:ascii="Arial" w:hAnsi="Arial"/>
          <w:color w:val="263A43"/>
          <w:sz w:val="20"/>
        </w:rPr>
        <w:t>, no a una atribución automática de la totalidad de la ayuda.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Segunda. Aplicación de las bases. La base </w:t>
      </w:r>
      <w:r>
        <w:rPr>
          <w:rFonts w:ascii="Arial" w:hAnsi="Arial"/>
          <w:b/>
          <w:color w:val="397CDD"/>
          <w:sz w:val="20"/>
          <w:shd w:fill="E8F0FB"/>
        </w:rPr>
        <w:t>[NÚMERO]</w:t>
      </w:r>
      <w:r>
        <w:rPr>
          <w:rFonts w:ascii="Arial" w:hAnsi="Arial"/>
          <w:color w:val="263A43"/>
          <w:sz w:val="20"/>
        </w:rPr>
        <w:t xml:space="preserve"> establece </w:t>
      </w:r>
      <w:r>
        <w:rPr>
          <w:rFonts w:ascii="Arial" w:hAnsi="Arial"/>
          <w:b/>
          <w:color w:val="397CDD"/>
          <w:sz w:val="20"/>
          <w:shd w:fill="E8F0FB"/>
        </w:rPr>
        <w:t>[CRITERIO RELEVANTE]</w:t>
      </w:r>
      <w:r>
        <w:rPr>
          <w:rFonts w:ascii="Arial" w:hAnsi="Arial"/>
          <w:color w:val="263A43"/>
          <w:sz w:val="20"/>
        </w:rPr>
        <w:t xml:space="preserve">. La decisión aplica </w:t>
      </w:r>
      <w:r>
        <w:rPr>
          <w:rFonts w:ascii="Arial" w:hAnsi="Arial"/>
          <w:b/>
          <w:color w:val="397CDD"/>
          <w:sz w:val="20"/>
          <w:shd w:fill="E8F0FB"/>
        </w:rPr>
        <w:t>[CRITERIO UTILIZADO]</w:t>
      </w:r>
      <w:r>
        <w:rPr>
          <w:rFonts w:ascii="Arial" w:hAnsi="Arial"/>
          <w:color w:val="263A43"/>
          <w:sz w:val="20"/>
        </w:rPr>
        <w:t xml:space="preserve">, cuya discrepancia es </w:t>
      </w:r>
      <w:r>
        <w:rPr>
          <w:rFonts w:ascii="Arial" w:hAnsi="Arial"/>
          <w:b/>
          <w:color w:val="397CDD"/>
          <w:sz w:val="20"/>
          <w:shd w:fill="E8F0FB"/>
        </w:rPr>
        <w:t>[EXPLICACIÓN]</w:t>
      </w:r>
      <w:r>
        <w:rPr>
          <w:rFonts w:ascii="Arial" w:hAnsi="Arial"/>
          <w:color w:val="263A43"/>
          <w:sz w:val="20"/>
        </w:rPr>
        <w:t xml:space="preserve">. Se solicita aplicar el criterio previsto y motivar su cálculo en </w:t>
      </w:r>
      <w:r>
        <w:rPr>
          <w:rFonts w:ascii="Arial" w:hAnsi="Arial"/>
          <w:b/>
          <w:color w:val="397CDD"/>
          <w:sz w:val="20"/>
          <w:shd w:fill="E8F0FB"/>
        </w:rPr>
        <w:t>[PARTIDA O PUNTUACIÓN]</w:t>
      </w:r>
      <w:r>
        <w:rPr>
          <w:rFonts w:ascii="Arial" w:hAnsi="Arial"/>
          <w:color w:val="263A43"/>
          <w:sz w:val="20"/>
        </w:rPr>
        <w:t>. No se pretende incorporar extemporáneamente un requisito o mérito nuevo que debía existir en otra fecha.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Tercera. </w:t>
      </w:r>
      <w:r>
        <w:rPr>
          <w:rFonts w:ascii="Arial" w:hAnsi="Arial"/>
          <w:b/>
          <w:color w:val="397CDD"/>
          <w:sz w:val="20"/>
          <w:shd w:fill="E8F0FB"/>
        </w:rPr>
        <w:t>[SOLO PARA REINTEGRO]</w:t>
      </w:r>
      <w:r>
        <w:rPr>
          <w:rFonts w:ascii="Arial" w:hAnsi="Arial"/>
          <w:color w:val="263A43"/>
          <w:sz w:val="20"/>
        </w:rPr>
        <w:t xml:space="preserve">. La causa invocada es </w:t>
      </w:r>
      <w:r>
        <w:rPr>
          <w:rFonts w:ascii="Arial" w:hAnsi="Arial"/>
          <w:b/>
          <w:color w:val="397CDD"/>
          <w:sz w:val="20"/>
          <w:shd w:fill="E8F0FB"/>
        </w:rPr>
        <w:t>[PRECEPTO Y HECHO]</w:t>
      </w:r>
      <w:r>
        <w:rPr>
          <w:rFonts w:ascii="Arial" w:hAnsi="Arial"/>
          <w:color w:val="263A43"/>
          <w:sz w:val="20"/>
        </w:rPr>
        <w:t xml:space="preserve">. El grado de ejecución y justificación acreditado es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con gastos elegibles de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euros y pagos de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euros. Se discute </w:t>
      </w:r>
      <w:r>
        <w:rPr>
          <w:rFonts w:ascii="Arial" w:hAnsi="Arial"/>
          <w:b/>
          <w:color w:val="397CDD"/>
          <w:sz w:val="20"/>
          <w:shd w:fill="E8F0FB"/>
        </w:rPr>
        <w:t>[INCUMPLIMIENTO, CUANTÍA O INTERESES]</w:t>
      </w:r>
      <w:r>
        <w:rPr>
          <w:rFonts w:ascii="Arial" w:hAnsi="Arial"/>
          <w:color w:val="263A43"/>
          <w:sz w:val="20"/>
        </w:rPr>
        <w:t xml:space="preserve"> por </w:t>
      </w:r>
      <w:r>
        <w:rPr>
          <w:rFonts w:ascii="Arial" w:hAnsi="Arial"/>
          <w:b/>
          <w:color w:val="397CDD"/>
          <w:sz w:val="20"/>
          <w:shd w:fill="E8F0FB"/>
        </w:rPr>
        <w:t>[MOTIVO]</w:t>
      </w:r>
      <w:r>
        <w:rPr>
          <w:rFonts w:ascii="Arial" w:hAnsi="Arial"/>
          <w:color w:val="263A43"/>
          <w:sz w:val="20"/>
        </w:rPr>
        <w:t>, solicitando, cuando la norma y las bases lo permitan, la consecuencia proporcionada al cumplimiento acreditado.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Cuarta. </w:t>
      </w:r>
      <w:r>
        <w:rPr>
          <w:rFonts w:ascii="Arial" w:hAnsi="Arial"/>
          <w:b/>
          <w:color w:val="397CDD"/>
          <w:sz w:val="20"/>
          <w:shd w:fill="E8F0FB"/>
        </w:rPr>
        <w:t>[SOLO SI PROCEDE]</w:t>
      </w:r>
      <w:r>
        <w:rPr>
          <w:rFonts w:ascii="Arial" w:hAnsi="Arial"/>
          <w:color w:val="263A43"/>
          <w:sz w:val="20"/>
        </w:rPr>
        <w:t xml:space="preserve">. Se produjo el defecto de tramitación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que impidió </w:t>
      </w:r>
      <w:r>
        <w:rPr>
          <w:rFonts w:ascii="Arial" w:hAnsi="Arial"/>
          <w:b/>
          <w:color w:val="397CDD"/>
          <w:sz w:val="20"/>
          <w:shd w:fill="E8F0FB"/>
        </w:rPr>
        <w:t>[DEFENSA CONCRETA]</w:t>
      </w:r>
      <w:r>
        <w:rPr>
          <w:rFonts w:ascii="Arial" w:hAnsi="Arial"/>
          <w:color w:val="263A43"/>
          <w:sz w:val="20"/>
        </w:rPr>
        <w:t xml:space="preserve">. Se pide </w:t>
      </w:r>
      <w:r>
        <w:rPr>
          <w:rFonts w:ascii="Arial" w:hAnsi="Arial"/>
          <w:b/>
          <w:color w:val="397CDD"/>
          <w:sz w:val="20"/>
          <w:shd w:fill="E8F0FB"/>
        </w:rPr>
        <w:t>[SUBSANACIÓN O RETROACCIÓN JUSTIFICADA]</w:t>
      </w:r>
      <w:r>
        <w:rPr>
          <w:rFonts w:ascii="Arial" w:hAnsi="Arial"/>
          <w:color w:val="263A43"/>
          <w:sz w:val="20"/>
        </w:rPr>
        <w:t>, sin asumir que toda falta formal determina nulidad.</w:t>
      </w:r>
    </w:p>
    <w:p>
      <w:pPr>
        <w:pStyle w:val="Heading2"/>
      </w:pPr>
      <w:r>
        <w:t>SOLICITA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Que admita el recurso y, tras examinar el expediente y los documentos, anule o modifique la resolución exclusivamente en </w:t>
      </w:r>
      <w:r>
        <w:rPr>
          <w:rFonts w:ascii="Arial" w:hAnsi="Arial"/>
          <w:b/>
          <w:color w:val="397CDD"/>
          <w:sz w:val="20"/>
          <w:shd w:fill="E8F0FB"/>
        </w:rPr>
        <w:t>[EXTREMO IMPUGNADO]</w:t>
      </w:r>
      <w:r>
        <w:rPr>
          <w:rFonts w:ascii="Arial" w:hAnsi="Arial"/>
          <w:color w:val="263A43"/>
          <w:sz w:val="20"/>
        </w:rPr>
        <w:t xml:space="preserve">, acordando </w:t>
      </w:r>
      <w:r>
        <w:rPr>
          <w:rFonts w:ascii="Arial" w:hAnsi="Arial"/>
          <w:b/>
          <w:color w:val="397CDD"/>
          <w:sz w:val="20"/>
          <w:shd w:fill="E8F0FB"/>
        </w:rPr>
        <w:t>[NUEVA VALORACIÓN, ADMISIÓN, RECÁLCULO O REDUCCIÓN/ANULACIÓN DEL REINTEGRO]</w:t>
      </w:r>
      <w:r>
        <w:rPr>
          <w:rFonts w:ascii="Arial" w:hAnsi="Arial"/>
          <w:color w:val="263A43"/>
          <w:sz w:val="20"/>
        </w:rPr>
        <w:t xml:space="preserve"> por los motivos expuestos.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Subsidiariamente, que retrotraiga las actuaciones al momento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para practicar </w:t>
      </w:r>
      <w:r>
        <w:rPr>
          <w:rFonts w:ascii="Arial" w:hAnsi="Arial"/>
          <w:b/>
          <w:color w:val="397CDD"/>
          <w:sz w:val="20"/>
          <w:shd w:fill="E8F0FB"/>
        </w:rPr>
        <w:t>[TRÁMITE NECESARIO]</w:t>
      </w:r>
      <w:r>
        <w:rPr>
          <w:rFonts w:ascii="Arial" w:hAnsi="Arial"/>
          <w:color w:val="263A43"/>
          <w:sz w:val="20"/>
        </w:rPr>
        <w:t xml:space="preserve"> y dictar nueva resolución motivada, respetando la convocatoria y los derechos de otras personas interesadas.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 solicita acceso a </w:t>
      </w:r>
      <w:r>
        <w:rPr>
          <w:rFonts w:ascii="Arial" w:hAnsi="Arial"/>
          <w:b/>
          <w:color w:val="397CDD"/>
          <w:sz w:val="20"/>
          <w:shd w:fill="E8F0FB"/>
        </w:rPr>
        <w:t>[DOCUMENTOS O DESGLOSE NO FACILITADO]</w:t>
      </w:r>
      <w:r>
        <w:rPr>
          <w:rFonts w:ascii="Arial" w:hAnsi="Arial"/>
          <w:color w:val="263A43"/>
          <w:sz w:val="20"/>
        </w:rPr>
        <w:t>. La eventual suspensión se pedirá y fundamentará separadamente por el cauce procedente; este recurso no presupone suspensión automática.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En </w:t>
      </w:r>
      <w:r>
        <w:rPr>
          <w:rFonts w:ascii="Arial" w:hAnsi="Arial"/>
          <w:b/>
          <w:color w:val="397CDD"/>
          <w:sz w:val="20"/>
          <w:shd w:fill="E8F0FB"/>
        </w:rPr>
        <w:t>[LOCALIDAD]</w:t>
      </w:r>
      <w:r>
        <w:rPr>
          <w:rFonts w:ascii="Arial" w:hAnsi="Arial"/>
          <w:color w:val="263A43"/>
          <w:sz w:val="20"/>
        </w:rPr>
        <w:t xml:space="preserve">, a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. Firma: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Anexos: </w:t>
      </w:r>
      <w:r>
        <w:rPr>
          <w:rFonts w:ascii="Arial" w:hAnsi="Arial"/>
          <w:b/>
          <w:color w:val="397CDD"/>
          <w:sz w:val="20"/>
          <w:shd w:fill="E8F0FB"/>
        </w:rPr>
        <w:t>[ÍNDICE Y CORRESPONDENCIA CON CADA MOTIVO]</w:t>
      </w:r>
      <w:r>
        <w:rPr>
          <w:rFonts w:ascii="Arial" w:hAnsi="Arial"/>
          <w:color w:val="263A43"/>
          <w:sz w:val="20"/>
        </w:rPr>
        <w:t>.</w:t>
      </w:r>
    </w:p>
    <w:p>
      <w:r>
        <w:br w:type="page"/>
      </w:r>
    </w:p>
    <w:p>
      <w:pPr>
        <w:pStyle w:val="Heading1"/>
        <w:jc w:val="center"/>
      </w:pPr>
      <w:r>
        <w:t>GUÍA DE REVISIÓN · NO ADJUNTAR AL ESCRITO</w:t>
      </w:r>
    </w:p>
    <w:p>
      <w:pPr>
        <w:pStyle w:val="Heading2"/>
      </w:pPr>
      <w:r>
        <w:t>Finalidad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Impugnar en vía administrativa una resolución de ayuda, puntuación definitiva o reintegro, seleccionando una única vía procedente.</w:t>
      </w:r>
    </w:p>
    <w:p>
      <w:pPr>
        <w:pStyle w:val="Heading2"/>
      </w:pPr>
      <w:r>
        <w:t>Cuándo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Resolución administrativa recurrible de concesión, denegación, exclusión o reintegro, bajo régimen general y convocatoria identificada.</w:t>
      </w:r>
    </w:p>
    <w:p>
      <w:pPr>
        <w:pStyle w:val="Heading2"/>
      </w:pPr>
      <w:r>
        <w:t>Cuándo no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Propuesta provisional aún en alegaciones, prestación de Seguridad Social, ayuda tributaria o procedimiento especial no revisado; no sirve como demanda.</w:t>
      </w:r>
    </w:p>
    <w:p>
      <w:pPr>
        <w:pStyle w:val="Heading2"/>
      </w:pPr>
      <w:r>
        <w:t>Plazos</w:t>
      </w:r>
    </w:p>
    <w:p>
      <w:pPr>
        <w:jc w:val="both"/>
      </w:pPr>
      <w:r>
        <w:rPr>
          <w:rFonts w:ascii="Arial" w:hAnsi="Arial"/>
          <w:color w:val="263A43"/>
          <w:sz w:val="20"/>
        </w:rPr>
        <w:t>Como regla general, un mes frente a acto expreso para alzada o reposición, según agote o no la vía administrativa. Revisar pie de recursos y normativa especial; no presentar ambos simultáneamente.</w:t>
      </w:r>
    </w:p>
    <w:p>
      <w:pPr>
        <w:pStyle w:val="Heading2"/>
      </w:pPr>
      <w:r>
        <w:t>Dónde y cómo presentarlo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Alzada ante órgano que dictó el acto o superior competente; reposición ante el mismo órgano que resolvió, según corresponda. Usar sede y procedimiento de la ayuda.</w:t>
      </w:r>
    </w:p>
    <w:p>
      <w:pPr>
        <w:pStyle w:val="Heading2"/>
      </w:pPr>
      <w:r>
        <w:t>Intervención y revisión profesional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muy recomendable ante reintegro, pérdida de financiación, sanción o concurrencia competitiva.</w:t>
      </w:r>
    </w:p>
    <w:p>
      <w:pPr>
        <w:pStyle w:val="Heading2"/>
      </w:pPr>
      <w:r>
        <w:t>Documentación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Convocatoria y bases; solicitud; resolución y notificación; puntuación; justificación; requerimientos; gastos y pagos; cálculo del perjuicio.</w:t>
      </w:r>
    </w:p>
    <w:p>
      <w:pPr>
        <w:pStyle w:val="Heading2"/>
      </w:pPr>
      <w:r>
        <w:t>Auditoría de seguridad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Un recurso universal sería inseguro. Se exige identificar resolución definitiva, bases, motivo y alzada o reposición; las alegaciones a propuesta son otro trámite.</w:t>
      </w:r>
    </w:p>
    <w:p>
      <w:pPr>
        <w:pStyle w:val="Heading2"/>
      </w:pPr>
      <w:r>
        <w:t>Advertencias específicas</w:t>
      </w:r>
    </w:p>
    <w:p>
      <w:pPr>
        <w:jc w:val="both"/>
      </w:pPr>
      <w:r>
        <w:rPr>
          <w:rFonts w:ascii="Arial" w:hAnsi="Arial"/>
          <w:color w:val="263A43"/>
          <w:sz w:val="20"/>
        </w:rPr>
        <w:t>Ámbito general de la Ley 39/2015. Comprobar normativa sectorial, autonómica y local, órgano competente, fase y notificación íntegra. Usar el formulario específico cuando sea obligatorio. Las personas obligadas a relacionarse electrónicamente deben emplear el registro electrónico adecuado; conservar justificante y anexos. No es una demanda contencioso-administrativa.</w:t>
      </w:r>
    </w:p>
    <w:p>
      <w:pPr>
        <w:pStyle w:val="Heading2"/>
      </w:pPr>
      <w:r>
        <w:t>Cumplimentación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Sustituya todos los campos entre corchetes por datos comprobados. Repita filas o registros de los anexos cuando sea necesario. Conserve una sola alternativa cuando se indique. Elimine controles internos, instrucciones y guía antes de enviar; revise cifras, plazos, representación, destinatario y firmas. No antedate ni afirme pagos, acuerdos o notificaciones inexistentes.</w:t>
      </w:r>
    </w:p>
    <w:p>
      <w:pPr>
        <w:pStyle w:val="Heading2"/>
      </w:pPr>
      <w:r>
        <w:t>Campos editables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COMPETENTE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DE ALZADA / POTESTATIVO DE REPOSICIÓN; CONSERVAR SOLO EL PROCEDENTE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CONVOCATORIA</w:t>
      </w:r>
    </w:p>
    <w:p>
      <w:pPr>
        <w:jc w:val="both"/>
      </w:pPr>
      <w:r>
        <w:rPr>
          <w:rFonts w:ascii="Arial" w:hAnsi="Arial"/>
          <w:color w:val="263A43"/>
          <w:sz w:val="20"/>
        </w:rPr>
        <w:t>-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NOMBRE O RAZÓN SOCIAL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ÓRGANO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DENEGACIÓN, EXCLUSIÓN, CONCESIÓN PARCIAL O REINTEGRO CON IMPORTE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NO AGOTA / AGOTA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NORMA O PIE DE RECURSOS COMPROBADO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EN REPOSICIÓN, SOLO SI ES CIERTO: no se ha interpuesto recurso contencioso-administrativo contra el mismo acto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PROYECTO O NECESIDAD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BASES Y CONVOCATORIA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RELACIÓN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MOTIVO LITERAL IDENTIFICADO SIN REPRODUCCIÓN INNECESARIA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NÚMERO, FECHA Y APARTADO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HECHO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CONSECUENCIA CONCRETA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NÚMERO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CRITERIO RELEVANTE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CRITERIO UTILIZADO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EXPLICACIÓN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PARTIDA O PUNTUACIÓN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SOLO PARA REINTEGRO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PRECEPTO Y HECHO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INCUMPLIMIENTO, CUANTÍA O INTERESES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MOTIVO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SOLO SI PROCEDE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DEFENSA CONCRETA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SUBSANACIÓN O RETROACCIÓN JUSTIFICADA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EXTREMO IMPUGNADO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NUEVA VALORACIÓN, ADMISIÓN, RECÁLCULO O REDUCCIÓN/ANULACIÓN DEL REINTEGRO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TRÁMITE NECESARIO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DOCUMENTOS O DESGLOSE NO FACILITADO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LOCALIDAD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FECHA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ÍNDICE Y CORRESPONDENCIA CON CADA MOTIVO</w:t>
      </w:r>
    </w:p>
    <w:p>
      <w:pPr>
        <w:pStyle w:val="Heading2"/>
      </w:pPr>
      <w:r>
        <w:t>Fuentes oficiales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Ley 39/2015, del Procedimiento Administrativo Común — https://www.boe.es/eli/es/l/2015/10/01/39/con: arts. 112, 115 y 121 a 124.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Ley 38/2003, General de Subvenciones — https://www.boe.es/eli/es/l/2003/11/17/38/con: arts. 14, 17, 22, 24, 25, 30, 31 y 37 a 42.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normativa documental: 13 de septiembre de 2026. Comprueba la normativa, el procedimiento y los datos del caso antes de utilizarlo. Plantilla general: completar, contrastar documentos y eliminar las alternativas no aplicables. No garantiza un resultado ni sustituye actuaciones profesionales o formularios obligatorios.</w:t>
      </w:r>
    </w:p>
    <w:p>
      <w:pPr>
        <w:jc w:val="both"/>
      </w:pPr>
      <w:r>
        <w:rPr>
          <w:rFonts w:ascii="Arial" w:hAnsi="Arial"/>
          <w:color w:val="263A43"/>
          <w:sz w:val="20"/>
        </w:rPr>
        <w:t>El contraste se ha efectuado sobre las fuentes oficiales identificadas, no sobre todos los regímenes territoriales, convenios privados, bases de convocatoria, estatutos o jurisprudencia posible. Las versiones consolidadas facilitan la consulta pero debe comprobarse la publicación oficial y la vigencia temporal del precepto aplicable. No se ha efectuado una auditoría de duplicidades del catálogo actualmente publicado en la web.</w:t>
      </w:r>
    </w:p>
    <w:p>
      <w:pPr>
        <w:pStyle w:val="Heading1"/>
      </w:pPr>
      <w:r>
        <w:t>Fuentes oficiales verificadas</w:t>
      </w:r>
    </w:p>
    <w:p>
      <w:r>
        <w:rPr>
          <w:rFonts w:ascii="Arial" w:hAnsi="Arial"/>
          <w:i/>
          <w:color w:val="68777D"/>
          <w:sz w:val="16"/>
        </w:rPr>
        <w:t>Revisión documental: 13 de septiembre de 2026. Comprueba vigencia, competencia, procedimiento y plazo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