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ADMINISTRATIVO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Recurso de alzada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Recurso contra un acto que no pone fin a la vía administrativa.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Órgano superior jerárquico o autor del acto.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Acto recurrido</w:t>
      </w:r>
    </w:p>
    <w:p>
      <w:pPr>
        <w:jc w:val="both"/>
      </w:pPr>
      <w:r>
        <w:rPr>
          <w:rFonts w:ascii="Arial" w:hAnsi="Arial"/>
        </w:rPr>
        <w:t xml:space="preserve">Se recurre la resolución de </w:t>
      </w:r>
      <w:r>
        <w:rPr>
          <w:rFonts w:ascii="Arial" w:hAnsi="Arial"/>
          <w:b/>
          <w:color w:val="397CDD"/>
          <w:shd w:fill="E5EFFC"/>
        </w:rPr>
        <w:t>{{ORGANO_AUTOR}}</w:t>
      </w:r>
      <w:r>
        <w:rPr>
          <w:rFonts w:ascii="Arial" w:hAnsi="Arial"/>
        </w:rPr>
        <w:t xml:space="preserve">, de fecha </w:t>
      </w:r>
      <w:r>
        <w:rPr>
          <w:rFonts w:ascii="Arial" w:hAnsi="Arial"/>
          <w:b/>
          <w:color w:val="397CDD"/>
          <w:shd w:fill="E5EFFC"/>
        </w:rPr>
        <w:t>{{FECHA_ACTO}}</w:t>
      </w:r>
      <w:r>
        <w:rPr>
          <w:rFonts w:ascii="Arial" w:hAnsi="Arial"/>
        </w:rPr>
        <w:t xml:space="preserve">, notificada el </w:t>
      </w:r>
      <w:r>
        <w:rPr>
          <w:rFonts w:ascii="Arial" w:hAnsi="Arial"/>
          <w:b/>
          <w:color w:val="397CDD"/>
          <w:shd w:fill="E5EFFC"/>
        </w:rPr>
        <w:t>{{FECHA_NOTIFICACION}}</w:t>
      </w:r>
      <w:r>
        <w:rPr>
          <w:rFonts w:ascii="Arial" w:hAnsi="Arial"/>
        </w:rPr>
        <w:t xml:space="preserve">, expediente </w:t>
      </w:r>
      <w:r>
        <w:rPr>
          <w:rFonts w:ascii="Arial" w:hAnsi="Arial"/>
          <w:b/>
          <w:color w:val="397CDD"/>
          <w:shd w:fill="E5EFFC"/>
        </w:rPr>
        <w:t>{{EXPEDIENTE}}</w:t>
      </w:r>
      <w:r>
        <w:rPr>
          <w:rFonts w:ascii="Arial" w:hAnsi="Arial"/>
        </w:rPr>
        <w:t>.</w:t>
      </w:r>
    </w:p>
    <w:p>
      <w:pPr>
        <w:pStyle w:val="Heading2"/>
      </w:pPr>
      <w:r>
        <w:t>Admisibilidad</w:t>
      </w:r>
    </w:p>
    <w:p>
      <w:pPr>
        <w:jc w:val="both"/>
      </w:pPr>
      <w:r>
        <w:rPr>
          <w:rFonts w:ascii="Arial" w:hAnsi="Arial"/>
        </w:rPr>
        <w:t>El acto no pone fin a la vía administrativa y el recurso se interpone dentro del plazo aplicable.</w:t>
      </w:r>
    </w:p>
    <w:p>
      <w:pPr>
        <w:pStyle w:val="Heading2"/>
      </w:pPr>
      <w:r>
        <w:t>Motivos</w:t>
      </w:r>
    </w:p>
    <w:p>
      <w:pPr>
        <w:jc w:val="both"/>
      </w:pPr>
      <w:r>
        <w:rPr>
          <w:rFonts w:ascii="Arial" w:hAnsi="Arial"/>
        </w:rPr>
        <w:t xml:space="preserve">Primero. </w:t>
      </w:r>
      <w:r>
        <w:rPr>
          <w:rFonts w:ascii="Arial" w:hAnsi="Arial"/>
          <w:b/>
          <w:color w:val="397CDD"/>
          <w:shd w:fill="E5EFFC"/>
        </w:rPr>
        <w:t>{{MOTIVO_HECHOS}}</w:t>
      </w:r>
      <w:r>
        <w:rPr>
          <w:rFonts w:ascii="Arial" w:hAnsi="Arial"/>
        </w:rPr>
        <w:t>.</w:t>
      </w:r>
    </w:p>
    <w:p>
      <w:pPr>
        <w:jc w:val="both"/>
      </w:pPr>
      <w:r>
        <w:rPr>
          <w:rFonts w:ascii="Arial" w:hAnsi="Arial"/>
        </w:rPr>
        <w:t xml:space="preserve">Segundo. </w:t>
      </w:r>
      <w:r>
        <w:rPr>
          <w:rFonts w:ascii="Arial" w:hAnsi="Arial"/>
          <w:b/>
          <w:color w:val="397CDD"/>
          <w:shd w:fill="E5EFFC"/>
        </w:rPr>
        <w:t>{{MOTIVO_DERECHO}}</w:t>
      </w:r>
      <w:r>
        <w:rPr>
          <w:rFonts w:ascii="Arial" w:hAnsi="Arial"/>
        </w:rPr>
        <w:t>.</w:t>
      </w:r>
    </w:p>
    <w:p>
      <w:pPr>
        <w:jc w:val="both"/>
      </w:pPr>
      <w:r>
        <w:rPr>
          <w:rFonts w:ascii="Arial" w:hAnsi="Arial"/>
        </w:rPr>
        <w:t xml:space="preserve">Tercero. </w:t>
      </w:r>
      <w:r>
        <w:rPr>
          <w:rFonts w:ascii="Arial" w:hAnsi="Arial"/>
          <w:b/>
          <w:color w:val="397CDD"/>
          <w:shd w:fill="E5EFFC"/>
        </w:rPr>
        <w:t>{{MOTIVO_PROCEDIMIENTO_PROPORCIONALIDAD}}</w:t>
      </w:r>
      <w:r>
        <w:rPr>
          <w:rFonts w:ascii="Arial" w:hAnsi="Arial"/>
        </w:rPr>
        <w:t>.</w:t>
      </w:r>
    </w:p>
    <w:p>
      <w:pPr>
        <w:pStyle w:val="Heading2"/>
      </w:pPr>
      <w:r>
        <w:t>Prueba</w:t>
      </w:r>
    </w:p>
    <w:p>
      <w:pPr>
        <w:jc w:val="both"/>
      </w:pPr>
      <w:r>
        <w:rPr>
          <w:rFonts w:ascii="Arial" w:hAnsi="Arial"/>
        </w:rPr>
        <w:t xml:space="preserve">Se aportan </w:t>
      </w:r>
      <w:r>
        <w:rPr>
          <w:rFonts w:ascii="Arial" w:hAnsi="Arial"/>
          <w:b/>
          <w:color w:val="397CDD"/>
          <w:shd w:fill="E5EFFC"/>
        </w:rPr>
        <w:t>{{DOCUMENTOS}}</w:t>
      </w:r>
      <w:r>
        <w:rPr>
          <w:rFonts w:ascii="Arial" w:hAnsi="Arial"/>
        </w:rPr>
        <w:t xml:space="preserve"> y se solicita </w:t>
      </w:r>
      <w:r>
        <w:rPr>
          <w:rFonts w:ascii="Arial" w:hAnsi="Arial"/>
          <w:b/>
          <w:color w:val="397CDD"/>
          <w:shd w:fill="E5EFFC"/>
        </w:rPr>
        <w:t>{{PRUEBA}}</w:t>
      </w:r>
      <w:r>
        <w:rPr>
          <w:rFonts w:ascii="Arial" w:hAnsi="Arial"/>
        </w:rPr>
        <w:t>.</w:t>
      </w:r>
    </w:p>
    <w:p>
      <w:pPr>
        <w:pStyle w:val="Heading2"/>
      </w:pPr>
      <w:r>
        <w:t>Solicitud</w:t>
      </w:r>
    </w:p>
    <w:p>
      <w:pPr>
        <w:jc w:val="both"/>
      </w:pPr>
      <w:r>
        <w:rPr>
          <w:rFonts w:ascii="Arial" w:hAnsi="Arial"/>
        </w:rPr>
        <w:t xml:space="preserve">Se solicita estimar el recurso y </w:t>
      </w:r>
      <w:r>
        <w:rPr>
          <w:rFonts w:ascii="Arial" w:hAnsi="Arial"/>
          <w:b/>
          <w:color w:val="397CDD"/>
          <w:shd w:fill="E5EFFC"/>
        </w:rPr>
        <w:t>{{RESULTADO_SOLICITADO}}</w:t>
      </w:r>
      <w:r>
        <w:rPr>
          <w:rFonts w:ascii="Arial" w:hAnsi="Arial"/>
        </w:rPr>
        <w:t xml:space="preserve">. Subsidiariamente, </w:t>
      </w:r>
      <w:r>
        <w:rPr>
          <w:rFonts w:ascii="Arial" w:hAnsi="Arial"/>
          <w:b/>
          <w:color w:val="397CDD"/>
          <w:shd w:fill="E5EFFC"/>
        </w:rPr>
        <w:t>{{PETICION_SUBSIDIARIA}}</w:t>
      </w:r>
      <w:r>
        <w:rPr>
          <w:rFonts w:ascii="Arial" w:hAnsi="Arial"/>
        </w:rPr>
        <w:t>.</w:t>
      </w:r>
    </w:p>
    <w:p>
      <w:pPr>
        <w:pStyle w:val="Heading2"/>
      </w:pPr>
      <w:r>
        <w:t>Suspensión</w:t>
      </w:r>
    </w:p>
    <w:p>
      <w:pPr>
        <w:jc w:val="both"/>
      </w:pPr>
      <w:r>
        <w:rPr>
          <w:rFonts w:ascii="Arial" w:hAnsi="Arial"/>
        </w:rPr>
        <w:t xml:space="preserve">En su caso, se solicita la suspensión por </w:t>
      </w:r>
      <w:r>
        <w:rPr>
          <w:rFonts w:ascii="Arial" w:hAnsi="Arial"/>
          <w:b/>
          <w:color w:val="397CDD"/>
          <w:shd w:fill="E5EFFC"/>
        </w:rPr>
        <w:t>{{MOTIVO_SUSPENSION}}</w:t>
      </w:r>
      <w:r>
        <w:rPr>
          <w:rFonts w:ascii="Arial" w:hAnsi="Arial"/>
        </w:rPr>
        <w:t xml:space="preserve">, aportando </w:t>
      </w:r>
      <w:r>
        <w:rPr>
          <w:rFonts w:ascii="Arial" w:hAnsi="Arial"/>
          <w:b/>
          <w:color w:val="397CDD"/>
          <w:shd w:fill="E5EFFC"/>
        </w:rPr>
        <w:t>{{GARANTIA_O_PRUEBA}}</w:t>
      </w:r>
      <w:r>
        <w:rPr>
          <w:rFonts w:ascii="Arial" w:hAnsi="Arial"/>
        </w:rPr>
        <w:t>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Pie de recursos de la notificación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Jerarquía del órgano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Plazo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Expediente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Petición principal y subsidiaria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No utilices alzada si el acto pone fin a la vía administrativa.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La suspensión no es automática.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Identifica el órgano competente y presenta por registro válido.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Ley 39/2015, arts. 112 y 121-122</w:t>
      </w:r>
      <w:r>
        <w:t xml:space="preserve"> — https://www.boe.es/buscar/act.php?id=BOE-A-2015-10565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