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200" w:after="40"/>
        <w:jc w:val="center"/>
      </w:pPr>
      <w:r>
        <w:rPr>
          <w:rFonts w:ascii="Arial" w:hAnsi="Arial"/>
          <w:b/>
          <w:color w:val="397CDD"/>
          <w:sz w:val="16"/>
        </w:rPr>
        <w:t>CIVIL Y CONTRATOS</w:t>
      </w:r>
    </w:p>
    <w:p>
      <w:pPr>
        <w:keepNext/>
        <w:spacing w:after="120"/>
        <w:jc w:val="center"/>
      </w:pPr>
      <w:r>
        <w:rPr>
          <w:rFonts w:ascii="Georgia" w:hAnsi="Georgia"/>
          <w:b/>
          <w:color w:val="17233C"/>
          <w:sz w:val="42"/>
        </w:rPr>
        <w:t>Reconocimiento de deuda y calendario de pagos</w:t>
      </w:r>
    </w:p>
    <w:p>
      <w:pPr>
        <w:spacing w:after="240"/>
        <w:jc w:val="center"/>
      </w:pPr>
      <w:r>
        <w:rPr>
          <w:rFonts w:ascii="Arial" w:hAnsi="Arial"/>
          <w:color w:val="667085"/>
          <w:sz w:val="21"/>
        </w:rPr>
        <w:t>Acuerdo privado para reconocer una deuda, fijar vencimientos y documentar pagos.</w:t>
      </w:r>
    </w:p>
    <w:tbl>
      <w:tblPr>
        <w:tblW w:type="dxa" w:w="9533"/>
        <w:tblLayout w:type="fixed"/>
        <w:tblLook w:firstColumn="1" w:firstRow="1" w:lastColumn="0" w:lastRow="0" w:noHBand="0" w:noVBand="1" w:val="04A0"/>
        <w:tblInd w:w="0" w:type="dxa"/>
      </w:tblPr>
      <w:tblGrid>
        <w:gridCol w:w="9533"/>
      </w:tblGrid>
      <w:tr>
        <w:tc>
          <w:tcPr>
            <w:tcW w:type="dxa" w:w="9533"/>
            <w:shd w:fill="F5F0E8"/>
            <w:tcMar>
              <w:top w:w="135" w:type="dxa"/>
              <w:start w:w="170" w:type="dxa"/>
              <w:bottom w:w="135" w:type="dxa"/>
              <w:end w:w="170" w:type="dxa"/>
            </w:tcMar>
            <w:vAlign w:val="center"/>
          </w:tcPr>
          <w:p>
            <w:pPr>
              <w:spacing w:after="80"/>
            </w:pPr>
            <w:r>
              <w:rPr>
                <w:rFonts w:ascii="Arial" w:hAnsi="Arial"/>
                <w:b/>
                <w:color w:val="17233C"/>
                <w:sz w:val="21"/>
              </w:rPr>
              <w:t>GUÍA DE USO · NO FORMA PARTE DEL ESCRITO</w:t>
            </w:r>
          </w:p>
          <w:p>
            <w:pPr>
              <w:spacing w:after="40"/>
            </w:pPr>
            <w:r>
              <w:rPr>
                <w:rFonts w:ascii="Arial" w:hAnsi="Arial"/>
              </w:rPr>
              <w:t>Documento editable y orientativo. Sustituye todos los campos azules y elimina las alternativas que no correspondan.</w:t>
            </w:r>
          </w:p>
          <w:p>
            <w:pPr>
              <w:spacing w:after="40"/>
            </w:pPr>
            <w:r>
              <w:rPr>
                <w:rFonts w:ascii="Arial" w:hAnsi="Arial"/>
              </w:rPr>
              <w:t>Comprueba destinatario, procedimiento, plazo, hechos, documentos y forma de presentación. Un modelo no determina por sí solo la estrategia ni interrumpe automáticamente ningún plazo.</w:t>
            </w:r>
          </w:p>
          <w:p>
            <w:pPr>
              <w:spacing w:after="40"/>
            </w:pPr>
            <w:r>
              <w:rPr>
                <w:rFonts w:ascii="Arial" w:hAnsi="Arial"/>
              </w:rPr>
              <w:t>Destinatario habitual: Acreedor y deudor.</w:t>
            </w:r>
          </w:p>
        </w:tc>
      </w:tr>
    </w:tbl>
    <w:p>
      <w:pPr>
        <w:spacing w:after="0"/>
      </w:pPr>
    </w:p>
    <w:p>
      <w:pPr>
        <w:keepNext/>
        <w:spacing w:before="160" w:after="160"/>
        <w:jc w:val="center"/>
        <w:pBdr>
          <w:bottom w:val="single" w:sz="10" w:space="5" w:color="D7A46D"/>
        </w:pBdr>
      </w:pPr>
      <w:r>
        <w:rPr>
          <w:rFonts w:ascii="Georgia" w:hAnsi="Georgia"/>
          <w:b/>
          <w:color w:val="17233C"/>
          <w:sz w:val="31"/>
        </w:rPr>
        <w:t>BORRADOR EDITABLE</w:t>
      </w:r>
    </w:p>
    <w:p>
      <w:pPr>
        <w:spacing w:after="240"/>
        <w:jc w:val="center"/>
      </w:pPr>
      <w:r>
        <w:rPr>
          <w:rFonts w:ascii="Arial" w:hAnsi="Arial"/>
          <w:b/>
          <w:color w:val="667085"/>
          <w:sz w:val="16"/>
        </w:rPr>
        <w:t>DESDE AQUÍ COMIENZA EL TEXTO DEL DOCUMENTO</w:t>
      </w:r>
    </w:p>
    <w:p>
      <w:pPr>
        <w:pStyle w:val="Heading2"/>
      </w:pPr>
      <w:r>
        <w:t>Reconocimiento</w:t>
      </w:r>
    </w:p>
    <w:p>
      <w:pPr>
        <w:jc w:val="both"/>
      </w:pPr>
      <w:r>
        <w:rPr>
          <w:rFonts w:ascii="Arial" w:hAnsi="Arial"/>
          <w:b/>
          <w:color w:val="397CDD"/>
          <w:shd w:fill="E5EFFC"/>
        </w:rPr>
        <w:t>{{DEUDOR}}</w:t>
      </w:r>
      <w:r>
        <w:rPr>
          <w:rFonts w:ascii="Arial" w:hAnsi="Arial"/>
        </w:rPr>
        <w:t xml:space="preserve">, con DNI/NIF </w:t>
      </w:r>
      <w:r>
        <w:rPr>
          <w:rFonts w:ascii="Arial" w:hAnsi="Arial"/>
          <w:b/>
          <w:color w:val="397CDD"/>
          <w:shd w:fill="E5EFFC"/>
        </w:rPr>
        <w:t>{{DNI_DEUDOR}}</w:t>
      </w:r>
      <w:r>
        <w:rPr>
          <w:rFonts w:ascii="Arial" w:hAnsi="Arial"/>
        </w:rPr>
        <w:t xml:space="preserve">, reconoce adeudar a </w:t>
      </w:r>
      <w:r>
        <w:rPr>
          <w:rFonts w:ascii="Arial" w:hAnsi="Arial"/>
          <w:b/>
          <w:color w:val="397CDD"/>
          <w:shd w:fill="E5EFFC"/>
        </w:rPr>
        <w:t>{{ACREEDOR}}</w:t>
      </w:r>
      <w:r>
        <w:rPr>
          <w:rFonts w:ascii="Arial" w:hAnsi="Arial"/>
        </w:rPr>
        <w:t xml:space="preserve"> la cantidad de </w:t>
      </w:r>
      <w:r>
        <w:rPr>
          <w:rFonts w:ascii="Arial" w:hAnsi="Arial"/>
          <w:b/>
          <w:color w:val="397CDD"/>
          <w:shd w:fill="E5EFFC"/>
        </w:rPr>
        <w:t>{{IMPORTE}}</w:t>
      </w:r>
      <w:r>
        <w:rPr>
          <w:rFonts w:ascii="Arial" w:hAnsi="Arial"/>
        </w:rPr>
        <w:t xml:space="preserve"> euros por </w:t>
      </w:r>
      <w:r>
        <w:rPr>
          <w:rFonts w:ascii="Arial" w:hAnsi="Arial"/>
          <w:b/>
          <w:color w:val="397CDD"/>
          <w:shd w:fill="E5EFFC"/>
        </w:rPr>
        <w:t>{{ORIGEN_DEUDA}}</w:t>
      </w:r>
      <w:r>
        <w:rPr>
          <w:rFonts w:ascii="Arial" w:hAnsi="Arial"/>
        </w:rPr>
        <w:t>.</w:t>
      </w:r>
    </w:p>
    <w:p>
      <w:pPr>
        <w:pStyle w:val="Heading2"/>
      </w:pPr>
      <w:r>
        <w:t>Calendario</w:t>
      </w:r>
    </w:p>
    <w:p>
      <w:pPr>
        <w:jc w:val="both"/>
      </w:pPr>
      <w:r>
        <w:rPr>
          <w:rFonts w:ascii="Arial" w:hAnsi="Arial"/>
        </w:rPr>
        <w:t xml:space="preserve">El pago se realizará mediante </w:t>
      </w:r>
      <w:r>
        <w:rPr>
          <w:rFonts w:ascii="Arial" w:hAnsi="Arial"/>
          <w:b/>
          <w:color w:val="397CDD"/>
          <w:shd w:fill="E5EFFC"/>
        </w:rPr>
        <w:t>{{NUMERO_CUOTAS}}</w:t>
      </w:r>
      <w:r>
        <w:rPr>
          <w:rFonts w:ascii="Arial" w:hAnsi="Arial"/>
        </w:rPr>
        <w:t xml:space="preserve"> cuotas de </w:t>
      </w:r>
      <w:r>
        <w:rPr>
          <w:rFonts w:ascii="Arial" w:hAnsi="Arial"/>
          <w:b/>
          <w:color w:val="397CDD"/>
          <w:shd w:fill="E5EFFC"/>
        </w:rPr>
        <w:t>{{IMPORTE_CUOTA}}</w:t>
      </w:r>
      <w:r>
        <w:rPr>
          <w:rFonts w:ascii="Arial" w:hAnsi="Arial"/>
        </w:rPr>
        <w:t xml:space="preserve"> euros, con vencimientos </w:t>
      </w:r>
      <w:r>
        <w:rPr>
          <w:rFonts w:ascii="Arial" w:hAnsi="Arial"/>
          <w:b/>
          <w:color w:val="397CDD"/>
          <w:shd w:fill="E5EFFC"/>
        </w:rPr>
        <w:t>{{CALENDARIO_PAGOS}}</w:t>
      </w:r>
      <w:r>
        <w:rPr>
          <w:rFonts w:ascii="Arial" w:hAnsi="Arial"/>
        </w:rPr>
        <w:t>.</w:t>
      </w:r>
    </w:p>
    <w:p>
      <w:pPr>
        <w:pStyle w:val="Heading2"/>
      </w:pPr>
      <w:r>
        <w:t>Intereses</w:t>
      </w:r>
    </w:p>
    <w:p>
      <w:pPr>
        <w:jc w:val="both"/>
      </w:pPr>
      <w:r>
        <w:rPr>
          <w:rFonts w:ascii="Arial" w:hAnsi="Arial"/>
        </w:rPr>
        <w:t xml:space="preserve">La deuda </w:t>
      </w:r>
      <w:r>
        <w:rPr>
          <w:rFonts w:ascii="Arial" w:hAnsi="Arial"/>
          <w:b/>
          <w:color w:val="397CDD"/>
          <w:shd w:fill="E5EFFC"/>
        </w:rPr>
        <w:t>{{DEVENGA_O_NO_INTERESES}}</w:t>
      </w:r>
      <w:r>
        <w:rPr>
          <w:rFonts w:ascii="Arial" w:hAnsi="Arial"/>
        </w:rPr>
        <w:t xml:space="preserve">. En caso afirmativo, tipo, base y periodo: </w:t>
      </w:r>
      <w:r>
        <w:rPr>
          <w:rFonts w:ascii="Arial" w:hAnsi="Arial"/>
          <w:b/>
          <w:color w:val="397CDD"/>
          <w:shd w:fill="E5EFFC"/>
        </w:rPr>
        <w:t>{{REGLA_INTERESES}}</w:t>
      </w:r>
      <w:r>
        <w:rPr>
          <w:rFonts w:ascii="Arial" w:hAnsi="Arial"/>
        </w:rPr>
        <w:t>.</w:t>
      </w:r>
    </w:p>
    <w:p>
      <w:pPr>
        <w:pStyle w:val="Heading2"/>
      </w:pPr>
      <w:r>
        <w:t>Imputación y justificantes</w:t>
      </w:r>
    </w:p>
    <w:p>
      <w:pPr>
        <w:jc w:val="both"/>
      </w:pPr>
      <w:r>
        <w:rPr>
          <w:rFonts w:ascii="Arial" w:hAnsi="Arial"/>
        </w:rPr>
        <w:t xml:space="preserve">Cada pago se imputará a </w:t>
      </w:r>
      <w:r>
        <w:rPr>
          <w:rFonts w:ascii="Arial" w:hAnsi="Arial"/>
          <w:b/>
          <w:color w:val="397CDD"/>
          <w:shd w:fill="E5EFFC"/>
        </w:rPr>
        <w:t>{{ORDEN_IMPUTACION}}</w:t>
      </w:r>
      <w:r>
        <w:rPr>
          <w:rFonts w:ascii="Arial" w:hAnsi="Arial"/>
        </w:rPr>
        <w:t xml:space="preserve"> y se acreditará mediante </w:t>
      </w:r>
      <w:r>
        <w:rPr>
          <w:rFonts w:ascii="Arial" w:hAnsi="Arial"/>
          <w:b/>
          <w:color w:val="397CDD"/>
          <w:shd w:fill="E5EFFC"/>
        </w:rPr>
        <w:t>{{JUSTIFICANTE}}</w:t>
      </w:r>
      <w:r>
        <w:rPr>
          <w:rFonts w:ascii="Arial" w:hAnsi="Arial"/>
        </w:rPr>
        <w:t>.</w:t>
      </w:r>
    </w:p>
    <w:p>
      <w:pPr>
        <w:pStyle w:val="Heading2"/>
      </w:pPr>
      <w:r>
        <w:t>Incumplimiento</w:t>
      </w:r>
    </w:p>
    <w:p>
      <w:pPr>
        <w:jc w:val="both"/>
      </w:pPr>
      <w:r>
        <w:rPr>
          <w:rFonts w:ascii="Arial" w:hAnsi="Arial"/>
        </w:rPr>
        <w:t xml:space="preserve">El impago de </w:t>
      </w:r>
      <w:r>
        <w:rPr>
          <w:rFonts w:ascii="Arial" w:hAnsi="Arial"/>
          <w:b/>
          <w:color w:val="397CDD"/>
          <w:shd w:fill="E5EFFC"/>
        </w:rPr>
        <w:t>{{UMBRAL_INCUMPLIMIENTO}}</w:t>
      </w:r>
      <w:r>
        <w:rPr>
          <w:rFonts w:ascii="Arial" w:hAnsi="Arial"/>
        </w:rPr>
        <w:t xml:space="preserve"> permitirá </w:t>
      </w:r>
      <w:r>
        <w:rPr>
          <w:rFonts w:ascii="Arial" w:hAnsi="Arial"/>
          <w:b/>
          <w:color w:val="397CDD"/>
          <w:shd w:fill="E5EFFC"/>
        </w:rPr>
        <w:t>{{CONSECUENCIA_VENCIMIENTO_ANTICIPADO}}</w:t>
      </w:r>
      <w:r>
        <w:rPr>
          <w:rFonts w:ascii="Arial" w:hAnsi="Arial"/>
        </w:rPr>
        <w:t xml:space="preserve">, previa comunicación conforme a </w:t>
      </w:r>
      <w:r>
        <w:rPr>
          <w:rFonts w:ascii="Arial" w:hAnsi="Arial"/>
          <w:b/>
          <w:color w:val="397CDD"/>
          <w:shd w:fill="E5EFFC"/>
        </w:rPr>
        <w:t>{{FORMA_COMUNICACION}}</w:t>
      </w:r>
      <w:r>
        <w:rPr>
          <w:rFonts w:ascii="Arial" w:hAnsi="Arial"/>
        </w:rPr>
        <w:t>.</w:t>
      </w:r>
    </w:p>
    <w:p>
      <w:pPr>
        <w:pStyle w:val="Heading2"/>
      </w:pPr>
      <w:r>
        <w:t>Garantías y jurisdicción</w:t>
      </w:r>
    </w:p>
    <w:p>
      <w:pPr>
        <w:jc w:val="both"/>
      </w:pPr>
      <w:r>
        <w:rPr>
          <w:rFonts w:ascii="Arial" w:hAnsi="Arial"/>
        </w:rPr>
        <w:t xml:space="preserve">Garantías, si existen: </w:t>
      </w:r>
      <w:r>
        <w:rPr>
          <w:rFonts w:ascii="Arial" w:hAnsi="Arial"/>
          <w:b/>
          <w:color w:val="397CDD"/>
          <w:shd w:fill="E5EFFC"/>
        </w:rPr>
        <w:t>{{GARANTIAS}}</w:t>
      </w:r>
      <w:r>
        <w:rPr>
          <w:rFonts w:ascii="Arial" w:hAnsi="Arial"/>
        </w:rPr>
        <w:t xml:space="preserve">. Para controversias, las partes establecen </w:t>
      </w:r>
      <w:r>
        <w:rPr>
          <w:rFonts w:ascii="Arial" w:hAnsi="Arial"/>
          <w:b/>
          <w:color w:val="397CDD"/>
          <w:shd w:fill="E5EFFC"/>
        </w:rPr>
        <w:t>{{MECANISMO_SOLUCION}}</w:t>
      </w:r>
      <w:r>
        <w:rPr>
          <w:rFonts w:ascii="Arial" w:hAnsi="Arial"/>
        </w:rPr>
        <w:t xml:space="preserve"> sin perjudicar normas imperativas.</w:t>
      </w:r>
    </w:p>
    <w:p>
      <w:pPr>
        <w:pStyle w:val="Heading2"/>
      </w:pPr>
      <w:r>
        <w:t>Petición o acuerdo final</w:t>
      </w:r>
    </w:p>
    <w:p>
      <w:r>
        <w:rPr>
          <w:rFonts w:ascii="Arial" w:hAnsi="Arial"/>
        </w:rPr>
        <w:t xml:space="preserve">En </w:t>
      </w:r>
      <w:r>
        <w:rPr>
          <w:rFonts w:ascii="Arial" w:hAnsi="Arial"/>
          <w:b/>
          <w:color w:val="397CDD"/>
          <w:shd w:fill="E5EFFC"/>
        </w:rPr>
        <w:t>{{LOCALIDAD}}</w:t>
      </w:r>
      <w:r>
        <w:rPr>
          <w:rFonts w:ascii="Arial" w:hAnsi="Arial"/>
        </w:rPr>
        <w:t xml:space="preserve">, a </w:t>
      </w:r>
      <w:r>
        <w:rPr>
          <w:rFonts w:ascii="Arial" w:hAnsi="Arial"/>
          <w:b/>
          <w:color w:val="397CDD"/>
          <w:shd w:fill="E5EFFC"/>
        </w:rPr>
        <w:t>{{FECHA_FIRMA}}</w:t>
      </w:r>
      <w:r>
        <w:rPr>
          <w:rFonts w:ascii="Arial" w:hAnsi="Arial"/>
        </w:rPr>
        <w:t xml:space="preserve">. Se firma o presenta por </w:t>
      </w:r>
      <w:r>
        <w:rPr>
          <w:rFonts w:ascii="Arial" w:hAnsi="Arial"/>
          <w:b/>
          <w:color w:val="397CDD"/>
          <w:shd w:fill="E5EFFC"/>
        </w:rPr>
        <w:t>{{FIRMANTES_O_REPRESENTANTE}}</w:t>
      </w:r>
      <w:r>
        <w:rPr>
          <w:rFonts w:ascii="Arial" w:hAnsi="Arial"/>
        </w:rPr>
        <w:t>.</w:t>
      </w:r>
    </w:p>
    <w:tbl>
      <w:tblPr>
        <w:tblW w:type="dxa" w:w="9532"/>
        <w:tblLayout w:type="fixed"/>
        <w:tblLook w:firstColumn="1" w:firstRow="1" w:lastColumn="0" w:lastRow="0" w:noHBand="0" w:noVBand="1" w:val="04A0"/>
        <w:tblInd w:w="0" w:type="dxa"/>
      </w:tblPr>
      <w:tblGrid>
        <w:gridCol w:w="4766"/>
        <w:gridCol w:w="4766"/>
      </w:tblGrid>
      <w:tr>
        <w:tc>
          <w:tcPr>
            <w:tcW w:type="dxa" w:w="4766"/>
            <w:shd w:fill="EFF4FC"/>
            <w:tcMar>
              <w:top w:w="120" w:type="dxa"/>
              <w:start w:w="140" w:type="dxa"/>
              <w:bottom w:w="120" w:type="dxa"/>
              <w:end w:w="140" w:type="dxa"/>
            </w:tcMar>
          </w:tcPr>
          <w:p>
            <w:r>
              <w:rPr>
                <w:b/>
                <w:sz w:val="18"/>
              </w:rPr>
              <w:t>Firma / identificación</w:t>
            </w:r>
          </w:p>
        </w:tc>
        <w:tc>
          <w:tcPr>
            <w:tcW w:type="dxa" w:w="4766"/>
            <w:shd w:fill="EFF4FC"/>
            <w:tcMar>
              <w:top w:w="120" w:type="dxa"/>
              <w:start w:w="140" w:type="dxa"/>
              <w:bottom w:w="120" w:type="dxa"/>
              <w:end w:w="140" w:type="dxa"/>
            </w:tcMar>
          </w:tcPr>
          <w:p>
            <w:r>
              <w:rPr>
                <w:b/>
                <w:sz w:val="18"/>
              </w:rPr>
              <w:t>Firma / representación</w:t>
            </w:r>
          </w:p>
        </w:tc>
      </w:tr>
      <w:tr>
        <w:tc>
          <w:tcPr>
            <w:tcW w:type="dxa" w:w="4766"/>
            <w:tcMar>
              <w:top w:w="300" w:type="dxa"/>
              <w:start w:w="140" w:type="dxa"/>
              <w:bottom w:w="320" w:type="dxa"/>
              <w:end w:w="140" w:type="dxa"/>
            </w:tcMar>
          </w:tcPr>
          <w:p>
            <w:r>
              <w:rPr>
                <w:rFonts w:ascii="Arial" w:hAnsi="Arial"/>
                <w:b/>
                <w:color w:val="397CDD"/>
                <w:shd w:fill="E5EFFC"/>
              </w:rPr>
              <w:t>{{NOMBRE_Y_FIRMA}}</w:t>
            </w:r>
          </w:p>
        </w:tc>
        <w:tc>
          <w:tcPr>
            <w:tcW w:type="dxa" w:w="4766"/>
            <w:tcMar>
              <w:top w:w="300" w:type="dxa"/>
              <w:start w:w="140" w:type="dxa"/>
              <w:bottom w:w="320" w:type="dxa"/>
              <w:end w:w="140" w:type="dxa"/>
            </w:tcMar>
          </w:tcPr>
          <w:p>
            <w:r>
              <w:rPr>
                <w:rFonts w:ascii="Arial" w:hAnsi="Arial"/>
                <w:b/>
                <w:color w:val="397CDD"/>
                <w:shd w:fill="E5EFFC"/>
              </w:rPr>
              <w:t>{{NOMBRE_Y_FIRMA}}</w:t>
            </w:r>
          </w:p>
        </w:tc>
      </w:tr>
    </w:tbl>
    <w:p>
      <w:pPr>
        <w:keepNext/>
        <w:spacing w:before="160" w:after="160"/>
        <w:jc w:val="center"/>
        <w:pBdr>
          <w:bottom w:val="single" w:sz="10" w:space="5" w:color="D7A46D"/>
        </w:pBdr>
      </w:pPr>
      <w:r>
        <w:rPr>
          <w:rFonts w:ascii="Georgia" w:hAnsi="Georgia"/>
          <w:b/>
          <w:color w:val="17233C"/>
          <w:sz w:val="31"/>
        </w:rPr>
        <w:t>GUÍA DE REVISIÓN</w:t>
      </w:r>
    </w:p>
    <w:p>
      <w:pPr>
        <w:spacing w:after="240"/>
        <w:jc w:val="center"/>
      </w:pPr>
      <w:r>
        <w:rPr>
          <w:rFonts w:ascii="Arial" w:hAnsi="Arial"/>
          <w:b/>
          <w:color w:val="667085"/>
          <w:sz w:val="16"/>
        </w:rPr>
        <w:t>MATERIAL DE APOYO · ELIMINA ESTA PARTE ANTES DE FIRMAR O PRESENTAR</w:t>
      </w:r>
    </w:p>
    <w:p>
      <w:pPr>
        <w:pStyle w:val="Heading1"/>
      </w:pPr>
      <w:r>
        <w:t>Comprobación antes de firmar o presentar</w:t>
      </w:r>
    </w:p>
    <w:p>
      <w:pPr>
        <w:pStyle w:val="ListBullet"/>
        <w:spacing w:after="70"/>
        <w:ind w:left="490" w:hanging="230"/>
      </w:pPr>
      <w:r>
        <w:rPr>
          <w:rFonts w:ascii="Arial" w:hAnsi="Arial"/>
        </w:rPr>
        <w:t>Origen y saldo real</w:t>
      </w:r>
    </w:p>
    <w:p>
      <w:pPr>
        <w:pStyle w:val="ListBullet"/>
        <w:spacing w:after="70"/>
        <w:ind w:left="490" w:hanging="230"/>
      </w:pPr>
      <w:r>
        <w:rPr>
          <w:rFonts w:ascii="Arial" w:hAnsi="Arial"/>
        </w:rPr>
        <w:t>Pagos anteriores</w:t>
      </w:r>
    </w:p>
    <w:p>
      <w:pPr>
        <w:pStyle w:val="ListBullet"/>
        <w:spacing w:after="70"/>
        <w:ind w:left="490" w:hanging="230"/>
      </w:pPr>
      <w:r>
        <w:rPr>
          <w:rFonts w:ascii="Arial" w:hAnsi="Arial"/>
        </w:rPr>
        <w:t>Calendario asumible</w:t>
      </w:r>
    </w:p>
    <w:p>
      <w:pPr>
        <w:pStyle w:val="ListBullet"/>
        <w:spacing w:after="70"/>
        <w:ind w:left="490" w:hanging="230"/>
      </w:pPr>
      <w:r>
        <w:rPr>
          <w:rFonts w:ascii="Arial" w:hAnsi="Arial"/>
        </w:rPr>
        <w:t>Intereses y fiscalidad</w:t>
      </w:r>
    </w:p>
    <w:p>
      <w:pPr>
        <w:pStyle w:val="ListBullet"/>
        <w:spacing w:after="70"/>
        <w:ind w:left="490" w:hanging="230"/>
      </w:pPr>
      <w:r>
        <w:rPr>
          <w:rFonts w:ascii="Arial" w:hAnsi="Arial"/>
        </w:rPr>
        <w:t>Garantías y capacidad de los firmantes</w:t>
      </w:r>
    </w:p>
    <w:tbl>
      <w:tblPr>
        <w:tblW w:type="dxa" w:w="9533"/>
        <w:tblLayout w:type="fixed"/>
        <w:tblLook w:firstColumn="1" w:firstRow="1" w:lastColumn="0" w:lastRow="0" w:noHBand="0" w:noVBand="1" w:val="04A0"/>
        <w:tblInd w:w="0" w:type="dxa"/>
      </w:tblPr>
      <w:tblGrid>
        <w:gridCol w:w="9533"/>
      </w:tblGrid>
      <w:tr>
        <w:tc>
          <w:tcPr>
            <w:tcW w:type="dxa" w:w="9533"/>
            <w:shd w:fill="EFF4FC"/>
            <w:tcMar>
              <w:top w:w="135" w:type="dxa"/>
              <w:start w:w="170" w:type="dxa"/>
              <w:bottom w:w="135" w:type="dxa"/>
              <w:end w:w="170" w:type="dxa"/>
            </w:tcMar>
            <w:vAlign w:val="center"/>
          </w:tcPr>
          <w:p>
            <w:pPr>
              <w:spacing w:after="80"/>
            </w:pPr>
            <w:r>
              <w:rPr>
                <w:rFonts w:ascii="Arial" w:hAnsi="Arial"/>
                <w:b/>
                <w:color w:val="17233C"/>
                <w:sz w:val="21"/>
              </w:rPr>
              <w:t>Puntos que requieren especial atención</w:t>
            </w:r>
          </w:p>
          <w:p>
            <w:pPr>
              <w:spacing w:after="40"/>
            </w:pPr>
            <w:r>
              <w:rPr>
                <w:rFonts w:ascii="Arial" w:hAnsi="Arial"/>
              </w:rPr>
              <w:t>Evita intereses desproporcionados o cláusulas abusivas.</w:t>
            </w:r>
          </w:p>
          <w:p>
            <w:pPr>
              <w:spacing w:after="40"/>
            </w:pPr>
            <w:r>
              <w:rPr>
                <w:rFonts w:ascii="Arial" w:hAnsi="Arial"/>
              </w:rPr>
              <w:t>La novación o condonación puede tener consecuencias fiscales.</w:t>
            </w:r>
          </w:p>
          <w:p>
            <w:pPr>
              <w:spacing w:after="40"/>
            </w:pPr>
            <w:r>
              <w:rPr>
                <w:rFonts w:ascii="Arial" w:hAnsi="Arial"/>
              </w:rPr>
              <w:t>La elección de fuero no siempre es válida frente a consumidores.</w:t>
            </w:r>
          </w:p>
        </w:tc>
      </w:tr>
    </w:tbl>
    <w:p>
      <w:pPr>
        <w:spacing w:after="0"/>
      </w:pPr>
    </w:p>
    <w:p>
      <w:pPr>
        <w:pStyle w:val="Heading1"/>
      </w:pPr>
      <w:r>
        <w:t>Fuentes de referencia</w:t>
      </w:r>
    </w:p>
    <w:p>
      <w:r>
        <w:rPr>
          <w:b/>
        </w:rPr>
        <w:t>Código Civil</w:t>
      </w:r>
      <w:r>
        <w:t xml:space="preserve"> — https://www.boe.es/buscar/act.php?id=BOE-A-1889-4763</w:t>
      </w:r>
    </w:p>
    <w:p>
      <w:pPr>
        <w:spacing w:before="120"/>
      </w:pPr>
      <w:r>
        <w:rPr>
          <w:i/>
          <w:color w:val="667085"/>
          <w:sz w:val="16"/>
        </w:rPr>
        <w:t>Versión revisada: 2026-08-24. Información jurídica general; normativa y procedimiento deben comprobarse en la fecha de uso.</w:t>
      </w:r>
    </w:p>
    <w:sectPr w:rsidR="00FC693F" w:rsidRPr="0006063C" w:rsidSect="00034616">
      <w:headerReference w:type="default" r:id="rId9"/>
      <w:footerReference w:type="default" r:id="rId10"/>
      <w:pgSz w:w="11905" w:h="16838"/>
      <w:pgMar w:top="1008" w:right="1187" w:bottom="950" w:left="1187" w:header="389" w:footer="389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</w:pPr>
  </w:p>
  <w:tbl>
    <w:tblPr>
      <w:tblW w:type="dxa" w:w="9533"/>
      <w:tblLayout w:type="fixed"/>
      <w:tblLook w:firstColumn="1" w:firstRow="1" w:lastColumn="0" w:lastRow="0" w:noHBand="0" w:noVBand="1" w:val="04A0"/>
      <w:tblInd w:w="0" w:type="dxa"/>
    </w:tblPr>
    <w:tblGrid>
      <w:gridCol w:w="8237"/>
      <w:gridCol w:w="1296"/>
    </w:tblGrid>
    <w:tr>
      <w:tc>
        <w:tcPr>
          <w:tcW w:type="dxa" w:w="8237"/>
          <w:tcMar>
            <w:top w:w="0" w:type="dxa"/>
            <w:start w:w="0" w:type="dxa"/>
            <w:bottom w:w="0" w:type="dxa"/>
            <w:end w:w="0" w:type="dxa"/>
          </w:tcMar>
        </w:tcPr>
        <w:p>
          <w:pPr>
            <w:spacing w:after="0"/>
          </w:pPr>
          <w:r>
            <w:rPr>
              <w:rFonts w:ascii="Arial" w:hAnsi="Arial"/>
              <w:color w:val="667085"/>
              <w:sz w:val="14"/>
            </w:rPr>
            <w:t>Modelo orientativo · Revisión profesional recomendada · perezburgosabogados.es</w:t>
          </w:r>
        </w:p>
      </w:tc>
      <w:tc>
        <w:tcPr>
          <w:tcW w:type="dxa" w:w="1296"/>
          <w:tcMar>
            <w:top w:w="0" w:type="dxa"/>
            <w:start w:w="0" w:type="dxa"/>
            <w:bottom w:w="0" w:type="dxa"/>
            <w:end w:w="0" w:type="dxa"/>
          </w:tcMar>
        </w:tcPr>
        <w:p>
          <w:pPr>
            <w:jc w:val="right"/>
          </w:pPr>
          <w:r>
            <w:fldChar w:fldCharType="begin"/>
            <w:instrText xml:space="preserve">PAGE</w:instrText>
            <w:fldChar w:fldCharType="end"/>
          </w:r>
        </w:p>
      </w:tc>
    </w:tr>
  </w:tbl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  <w:spacing w:after="0"/>
      <w:jc w:val="center"/>
    </w:pPr>
    <w:r>
      <w:rPr>
        <w:rFonts w:ascii="Georgia" w:hAnsi="Georgia"/>
        <w:b/>
        <w:color w:val="17233C"/>
        <w:sz w:val="18"/>
      </w:rPr>
      <w:t>PÉREZ &amp; BURGOS</w:t>
    </w:r>
    <w:r>
      <w:rPr>
        <w:rFonts w:ascii="Arial" w:hAnsi="Arial"/>
        <w:b/>
        <w:color w:val="397CDD"/>
        <w:sz w:val="15"/>
      </w:rPr>
      <w:t xml:space="preserve">  ·  MODELOS JURÍDICOS</w:t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100" w:line="278" w:lineRule="auto"/>
      <w:jc w:val="both"/>
    </w:pPr>
    <w:rPr>
      <w:rFonts w:ascii="Arial" w:hAnsi="Arial"/>
      <w:color w:val="263044"/>
      <w:sz w:val="20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260" w:after="140"/>
      <w:outlineLvl w:val="0"/>
    </w:pPr>
    <w:rPr>
      <w:rFonts w:asciiTheme="majorHAnsi" w:eastAsiaTheme="majorEastAsia" w:hAnsiTheme="majorHAnsi" w:cstheme="majorBidi" w:ascii="Georgia" w:hAnsi="Georgia"/>
      <w:b/>
      <w:bCs/>
      <w:color w:val="17233C"/>
      <w:sz w:val="31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80"/>
      <w:outlineLvl w:val="1"/>
    </w:pPr>
    <w:rPr>
      <w:rFonts w:asciiTheme="majorHAnsi" w:eastAsiaTheme="majorEastAsia" w:hAnsiTheme="majorHAnsi" w:cstheme="majorBidi" w:ascii="Georgia" w:hAnsi="Georgia"/>
      <w:b/>
      <w:bCs/>
      <w:color w:val="17233C"/>
      <w:sz w:val="24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 w:ascii="Georgia" w:hAnsi="Georgia"/>
      <w:b/>
      <w:bCs/>
      <w:color w:val="17233C"/>
      <w:sz w:val="22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Relationship Id="rId10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>Modelo jurídico editable de Pérez &amp; Burgos Abogados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