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ADMINISTRATIVO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Reclamación de responsabilidad patrimonial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Solicitud guiada de indemnización por daño imputable al funcionamiento de una Administración.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Administración y órgano competente.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Hechos</w:t>
      </w:r>
    </w:p>
    <w:p>
      <w:pPr>
        <w:jc w:val="both"/>
      </w:pPr>
      <w:r>
        <w:rPr>
          <w:rFonts w:ascii="Arial" w:hAnsi="Arial"/>
        </w:rPr>
        <w:t xml:space="preserve">El </w:t>
      </w:r>
      <w:r>
        <w:rPr>
          <w:rFonts w:ascii="Arial" w:hAnsi="Arial"/>
          <w:b/>
          <w:color w:val="397CDD"/>
          <w:shd w:fill="E5EFFC"/>
        </w:rPr>
        <w:t>{{FECHA_DANO}}</w:t>
      </w:r>
      <w:r>
        <w:rPr>
          <w:rFonts w:ascii="Arial" w:hAnsi="Arial"/>
        </w:rPr>
        <w:t xml:space="preserve">, en </w:t>
      </w:r>
      <w:r>
        <w:rPr>
          <w:rFonts w:ascii="Arial" w:hAnsi="Arial"/>
          <w:b/>
          <w:color w:val="397CDD"/>
          <w:shd w:fill="E5EFFC"/>
        </w:rPr>
        <w:t>{{LUGAR}}</w:t>
      </w:r>
      <w:r>
        <w:rPr>
          <w:rFonts w:ascii="Arial" w:hAnsi="Arial"/>
        </w:rPr>
        <w:t xml:space="preserve">, ocurrió </w:t>
      </w:r>
      <w:r>
        <w:rPr>
          <w:rFonts w:ascii="Arial" w:hAnsi="Arial"/>
          <w:b/>
          <w:color w:val="397CDD"/>
          <w:shd w:fill="E5EFFC"/>
        </w:rPr>
        <w:t>{{DESCRIPCION_HECHOS}}</w:t>
      </w:r>
      <w:r>
        <w:rPr>
          <w:rFonts w:ascii="Arial" w:hAnsi="Arial"/>
        </w:rPr>
        <w:t xml:space="preserve">. El servicio público implicado es </w:t>
      </w:r>
      <w:r>
        <w:rPr>
          <w:rFonts w:ascii="Arial" w:hAnsi="Arial"/>
          <w:b/>
          <w:color w:val="397CDD"/>
          <w:shd w:fill="E5EFFC"/>
        </w:rPr>
        <w:t>{{SERVICIO}}</w:t>
      </w:r>
      <w:r>
        <w:rPr>
          <w:rFonts w:ascii="Arial" w:hAnsi="Arial"/>
        </w:rPr>
        <w:t>.</w:t>
      </w:r>
    </w:p>
    <w:p>
      <w:pPr>
        <w:pStyle w:val="Heading2"/>
      </w:pPr>
      <w:r>
        <w:t>Daño</w:t>
      </w:r>
    </w:p>
    <w:p>
      <w:pPr>
        <w:jc w:val="both"/>
      </w:pPr>
      <w:r>
        <w:rPr>
          <w:rFonts w:ascii="Arial" w:hAnsi="Arial"/>
        </w:rPr>
        <w:t xml:space="preserve">Los daños efectivos e individualizados son </w:t>
      </w:r>
      <w:r>
        <w:rPr>
          <w:rFonts w:ascii="Arial" w:hAnsi="Arial"/>
          <w:b/>
          <w:color w:val="397CDD"/>
          <w:shd w:fill="E5EFFC"/>
        </w:rPr>
        <w:t>{{DANOS}}</w:t>
      </w:r>
      <w:r>
        <w:rPr>
          <w:rFonts w:ascii="Arial" w:hAnsi="Arial"/>
        </w:rPr>
        <w:t xml:space="preserve">, acreditados mediante </w:t>
      </w:r>
      <w:r>
        <w:rPr>
          <w:rFonts w:ascii="Arial" w:hAnsi="Arial"/>
          <w:b/>
          <w:color w:val="397CDD"/>
          <w:shd w:fill="E5EFFC"/>
        </w:rPr>
        <w:t>{{PRUEBA_DANO}}</w:t>
      </w:r>
      <w:r>
        <w:rPr>
          <w:rFonts w:ascii="Arial" w:hAnsi="Arial"/>
        </w:rPr>
        <w:t>.</w:t>
      </w:r>
    </w:p>
    <w:p>
      <w:pPr>
        <w:pStyle w:val="Heading2"/>
      </w:pPr>
      <w:r>
        <w:t>Relación causal</w:t>
      </w:r>
    </w:p>
    <w:p>
      <w:pPr>
        <w:jc w:val="both"/>
      </w:pPr>
      <w:r>
        <w:rPr>
          <w:rFonts w:ascii="Arial" w:hAnsi="Arial"/>
        </w:rPr>
        <w:t xml:space="preserve">La conexión entre funcionamiento y daño se fundamenta en </w:t>
      </w:r>
      <w:r>
        <w:rPr>
          <w:rFonts w:ascii="Arial" w:hAnsi="Arial"/>
          <w:b/>
          <w:color w:val="397CDD"/>
          <w:shd w:fill="E5EFFC"/>
        </w:rPr>
        <w:t>{{NEXO_CAUSAL}}</w:t>
      </w:r>
      <w:r>
        <w:rPr>
          <w:rFonts w:ascii="Arial" w:hAnsi="Arial"/>
        </w:rPr>
        <w:t xml:space="preserve">. Se analizan como posibles causas concurrentes </w:t>
      </w:r>
      <w:r>
        <w:rPr>
          <w:rFonts w:ascii="Arial" w:hAnsi="Arial"/>
          <w:b/>
          <w:color w:val="397CDD"/>
          <w:shd w:fill="E5EFFC"/>
        </w:rPr>
        <w:t>{{CAUSAS_CONCURRENTES}}</w:t>
      </w:r>
      <w:r>
        <w:rPr>
          <w:rFonts w:ascii="Arial" w:hAnsi="Arial"/>
        </w:rPr>
        <w:t>.</w:t>
      </w:r>
    </w:p>
    <w:p>
      <w:pPr>
        <w:pStyle w:val="Heading2"/>
      </w:pPr>
      <w:r>
        <w:t>Cuantificación</w:t>
      </w:r>
    </w:p>
    <w:p>
      <w:pPr>
        <w:jc w:val="both"/>
      </w:pPr>
      <w:r>
        <w:rPr>
          <w:rFonts w:ascii="Arial" w:hAnsi="Arial"/>
        </w:rPr>
        <w:t xml:space="preserve">Se reclama provisional o definitivamente </w:t>
      </w:r>
      <w:r>
        <w:rPr>
          <w:rFonts w:ascii="Arial" w:hAnsi="Arial"/>
          <w:b/>
          <w:color w:val="397CDD"/>
          <w:shd w:fill="E5EFFC"/>
        </w:rPr>
        <w:t>{{CUANTIA}}</w:t>
      </w:r>
      <w:r>
        <w:rPr>
          <w:rFonts w:ascii="Arial" w:hAnsi="Arial"/>
        </w:rPr>
        <w:t xml:space="preserve"> euros, desglosados en </w:t>
      </w:r>
      <w:r>
        <w:rPr>
          <w:rFonts w:ascii="Arial" w:hAnsi="Arial"/>
          <w:b/>
          <w:color w:val="397CDD"/>
          <w:shd w:fill="E5EFFC"/>
        </w:rPr>
        <w:t>{{DESGLOSE}}</w:t>
      </w:r>
      <w:r>
        <w:rPr>
          <w:rFonts w:ascii="Arial" w:hAnsi="Arial"/>
        </w:rPr>
        <w:t>.</w:t>
      </w:r>
    </w:p>
    <w:p>
      <w:pPr>
        <w:pStyle w:val="Heading2"/>
      </w:pPr>
      <w:r>
        <w:t>Plazo</w:t>
      </w:r>
    </w:p>
    <w:p>
      <w:pPr>
        <w:jc w:val="both"/>
      </w:pPr>
      <w:r>
        <w:rPr>
          <w:rFonts w:ascii="Arial" w:hAnsi="Arial"/>
        </w:rPr>
        <w:t xml:space="preserve">El cómputo se sitúa en </w:t>
      </w:r>
      <w:r>
        <w:rPr>
          <w:rFonts w:ascii="Arial" w:hAnsi="Arial"/>
          <w:b/>
          <w:color w:val="397CDD"/>
          <w:shd w:fill="E5EFFC"/>
        </w:rPr>
        <w:t>{{FECHA_INICIO_PLAZO}}</w:t>
      </w:r>
      <w:r>
        <w:rPr>
          <w:rFonts w:ascii="Arial" w:hAnsi="Arial"/>
        </w:rPr>
        <w:t xml:space="preserve"> por </w:t>
      </w:r>
      <w:r>
        <w:rPr>
          <w:rFonts w:ascii="Arial" w:hAnsi="Arial"/>
          <w:b/>
          <w:color w:val="397CDD"/>
          <w:shd w:fill="E5EFFC"/>
        </w:rPr>
        <w:t>{{JUSTIFICACION_COMPUTO}}</w:t>
      </w:r>
      <w:r>
        <w:rPr>
          <w:rFonts w:ascii="Arial" w:hAnsi="Arial"/>
        </w:rPr>
        <w:t>.</w:t>
      </w:r>
    </w:p>
    <w:p>
      <w:pPr>
        <w:pStyle w:val="Heading2"/>
      </w:pPr>
      <w:r>
        <w:t>Prueba</w:t>
      </w:r>
    </w:p>
    <w:p>
      <w:pPr>
        <w:jc w:val="both"/>
      </w:pPr>
      <w:r>
        <w:rPr>
          <w:rFonts w:ascii="Arial" w:hAnsi="Arial"/>
        </w:rPr>
        <w:t xml:space="preserve">Se aportan </w:t>
      </w:r>
      <w:r>
        <w:rPr>
          <w:rFonts w:ascii="Arial" w:hAnsi="Arial"/>
          <w:b/>
          <w:color w:val="397CDD"/>
          <w:shd w:fill="E5EFFC"/>
        </w:rPr>
        <w:t>{{DOCUMENTOS}}</w:t>
      </w:r>
      <w:r>
        <w:rPr>
          <w:rFonts w:ascii="Arial" w:hAnsi="Arial"/>
        </w:rPr>
        <w:t xml:space="preserve"> y se propone </w:t>
      </w:r>
      <w:r>
        <w:rPr>
          <w:rFonts w:ascii="Arial" w:hAnsi="Arial"/>
          <w:b/>
          <w:color w:val="397CDD"/>
          <w:shd w:fill="E5EFFC"/>
        </w:rPr>
        <w:t>{{PRUEBA}}</w:t>
      </w:r>
      <w:r>
        <w:rPr>
          <w:rFonts w:ascii="Arial" w:hAnsi="Arial"/>
        </w:rPr>
        <w:t>.</w:t>
      </w:r>
    </w:p>
    <w:p>
      <w:pPr>
        <w:pStyle w:val="Heading2"/>
      </w:pPr>
      <w:r>
        <w:t>Solicitud</w:t>
      </w:r>
    </w:p>
    <w:p>
      <w:pPr>
        <w:jc w:val="both"/>
      </w:pPr>
      <w:r>
        <w:rPr>
          <w:rFonts w:ascii="Arial" w:hAnsi="Arial"/>
        </w:rPr>
        <w:t xml:space="preserve">Se solicita reconocer la responsabilidad e indemnizar en </w:t>
      </w:r>
      <w:r>
        <w:rPr>
          <w:rFonts w:ascii="Arial" w:hAnsi="Arial"/>
          <w:b/>
          <w:color w:val="397CDD"/>
          <w:shd w:fill="E5EFFC"/>
        </w:rPr>
        <w:t>{{CUANTIA_SOLICITADA}}</w:t>
      </w:r>
      <w:r>
        <w:rPr>
          <w:rFonts w:ascii="Arial" w:hAnsi="Arial"/>
        </w:rPr>
        <w:t>, con actualización e intereses cuando procedan.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Administración responsable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Fotos y testigos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Informes médicos o técnicos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Gastos y pérdida de ingresos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Cómputo del año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 toda lesión en un espacio público genera responsabilidad.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 relación causal suele ser el punto decisivo.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En daños físicos el inicio del año puede depender de curación o secuelas.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Ley 39/2015, art. 67</w:t>
      </w:r>
      <w:r>
        <w:t xml:space="preserve"> — https://www.boe.es/buscar/act.php?id=BOE-A-2015-10565</w:t>
      </w:r>
    </w:p>
    <w:p>
      <w:r>
        <w:rPr>
          <w:b/>
        </w:rPr>
        <w:t>Ley 40/2015, arts. 32-35</w:t>
      </w:r>
      <w:r>
        <w:t xml:space="preserve"> — https://www.boe.es/buscar/act.php?id=BOE-A-2015-10566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