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</w:pPr>
      <w:r>
        <w:rPr>
          <w:color w:val="000000"/>
        </w:rPr>
        <w:t>Reclamación previa de la prestación CUME</w:t>
      </w:r>
    </w:p>
    <w:p>
      <w:pPr>
        <w:pStyle w:val="Subtitle"/>
        <w:keepLines/>
      </w:pPr>
      <w:r>
        <w:rPr>
          <w:color w:val="000000"/>
        </w:rPr>
        <w:t>Escolarización y necesidad de cuidados</w:t>
      </w:r>
    </w:p>
    <w:p>
      <w:pPr>
        <w:keepLines/>
        <w:jc w:val="left"/>
      </w:pPr>
      <w:r>
        <w:rPr>
          <w:color w:val="000000"/>
        </w:rPr>
        <w:t xml:space="preserve">A </w:t>
      </w:r>
      <w:r>
        <w:rPr>
          <w:b/>
          <w:color w:val="000000"/>
        </w:rPr>
        <w:t>[MUTUA O ENTIDAD GESTORA QUE RESOLVIÓ Y UNIDAD DESTINATARIA]</w:t>
      </w:r>
    </w:p>
    <w:p>
      <w:pPr>
        <w:keepLines/>
        <w:jc w:val="left"/>
      </w:pPr>
      <w:r>
        <w:rPr>
          <w:color w:val="000000"/>
        </w:rPr>
        <w:t xml:space="preserve">D./D.ª </w:t>
      </w:r>
      <w:r>
        <w:rPr>
          <w:b/>
          <w:color w:val="000000"/>
        </w:rPr>
        <w:t>[NOMBRE Y APELLIDOS]</w:t>
      </w:r>
      <w:r>
        <w:rPr>
          <w:color w:val="000000"/>
        </w:rPr>
        <w:t xml:space="preserve">, con DNI/NIE </w:t>
      </w:r>
      <w:r>
        <w:rPr>
          <w:b/>
          <w:color w:val="000000"/>
        </w:rPr>
        <w:t>[NÚMERO]</w:t>
      </w:r>
      <w:r>
        <w:rPr>
          <w:color w:val="000000"/>
        </w:rPr>
        <w:t xml:space="preserve">, domicilio a efectos de notificaciones en </w:t>
      </w:r>
      <w:r>
        <w:rPr>
          <w:b/>
          <w:color w:val="000000"/>
        </w:rPr>
        <w:t>[DOMICILIO O CANAL ADMITIDO]</w:t>
      </w:r>
      <w:r>
        <w:rPr>
          <w:color w:val="000000"/>
        </w:rPr>
        <w:t xml:space="preserve"> y expediente </w:t>
      </w:r>
      <w:r>
        <w:rPr>
          <w:b/>
          <w:color w:val="000000"/>
        </w:rPr>
        <w:t>[REFERENCIA]</w:t>
      </w:r>
      <w:r>
        <w:rPr>
          <w:color w:val="000000"/>
        </w:rPr>
        <w:t>, comparece y formula RECLAMACIÓN PREVIA conforme al artículo 71 de la Ley reguladora de la jurisdicción social.</w:t>
      </w:r>
    </w:p>
    <w:p>
      <w:pPr>
        <w:keepLines/>
        <w:jc w:val="left"/>
      </w:pPr>
      <w:r>
        <w:rPr>
          <w:color w:val="000000"/>
        </w:rPr>
        <w:t xml:space="preserve">Acto impugnado: </w:t>
      </w:r>
      <w:r>
        <w:rPr>
          <w:b/>
          <w:color w:val="000000"/>
        </w:rPr>
        <w:t>[DENEGACIÓN INICIAL / SUSPENSIÓN / EXTINCIÓN; DEJAR SOLO UNO]</w:t>
      </w:r>
      <w:r>
        <w:rPr>
          <w:color w:val="000000"/>
        </w:rPr>
        <w:t xml:space="preserve">. Resolución de </w:t>
      </w:r>
      <w:r>
        <w:rPr>
          <w:b/>
          <w:color w:val="000000"/>
        </w:rPr>
        <w:t>[FECHA]</w:t>
      </w:r>
      <w:r>
        <w:rPr>
          <w:color w:val="000000"/>
        </w:rPr>
        <w:t xml:space="preserve">, notificada el </w:t>
      </w:r>
      <w:r>
        <w:rPr>
          <w:b/>
          <w:color w:val="000000"/>
        </w:rPr>
        <w:t>[FECHA]</w:t>
      </w:r>
      <w:r>
        <w:rPr>
          <w:color w:val="000000"/>
        </w:rPr>
        <w:t xml:space="preserve">, relativa a la prestación por cuidado de </w:t>
      </w:r>
      <w:r>
        <w:rPr>
          <w:b/>
          <w:color w:val="000000"/>
        </w:rPr>
        <w:t>[PERSONA CAUSANTE Y VÍNCULO; IDENTIFICACIÓN MÍNIMA]</w:t>
      </w:r>
      <w:r>
        <w:rPr>
          <w:color w:val="000000"/>
        </w:rPr>
        <w:t>.</w:t>
      </w:r>
    </w:p>
    <w:p>
      <w:pPr>
        <w:pStyle w:val="Heading1"/>
        <w:keepLines/>
      </w:pPr>
      <w:r>
        <w:rPr>
          <w:color w:val="000000"/>
        </w:rPr>
        <w:t>Hechos</w:t>
      </w:r>
    </w:p>
    <w:p>
      <w:pPr>
        <w:keepLines/>
      </w:pPr>
      <w:r>
        <w:rPr>
          <w:color w:val="000000"/>
        </w:rPr>
        <w:t xml:space="preserve">Primero. Solicité la prestación el </w:t>
      </w:r>
      <w:r>
        <w:rPr>
          <w:b/>
          <w:color w:val="000000"/>
        </w:rPr>
        <w:t>[FECHA]</w:t>
      </w:r>
      <w:r>
        <w:rPr>
          <w:color w:val="000000"/>
        </w:rPr>
        <w:t xml:space="preserve"> para el periodo </w:t>
      </w:r>
      <w:r>
        <w:rPr>
          <w:b/>
          <w:color w:val="000000"/>
        </w:rPr>
        <w:t>[PERIODO]</w:t>
      </w:r>
      <w:r>
        <w:rPr>
          <w:color w:val="000000"/>
        </w:rPr>
        <w:t xml:space="preserve">. La reducción de jornada o actividad es </w:t>
      </w:r>
      <w:r>
        <w:rPr>
          <w:b/>
          <w:color w:val="000000"/>
        </w:rPr>
        <w:t>[PORCENTAJE, FECHA DE EFECTOS Y DOCUMENTO QUE LA ACREDITA]</w:t>
      </w:r>
      <w:r>
        <w:rPr>
          <w:color w:val="000000"/>
        </w:rPr>
        <w:t xml:space="preserve">. Mi situación anterior era </w:t>
      </w:r>
      <w:r>
        <w:rPr>
          <w:b/>
          <w:color w:val="000000"/>
        </w:rPr>
        <w:t>[SOLICITUD INICIAL PENDIENTE O PRESTACIÓN RECONOCIDA; INDICAR RESOLUCIÓN Y PERIODO SI EXISTEN]</w:t>
      </w:r>
      <w:r>
        <w:rPr>
          <w:color w:val="000000"/>
        </w:rPr>
        <w:t>.</w:t>
      </w:r>
    </w:p>
    <w:p>
      <w:pPr>
        <w:keepLines/>
      </w:pPr>
      <w:r>
        <w:rPr>
          <w:color w:val="000000"/>
        </w:rPr>
        <w:t xml:space="preserve">Segundo. El acto fundamenta la decisión en </w:t>
      </w:r>
      <w:r>
        <w:rPr>
          <w:b/>
          <w:color w:val="000000"/>
        </w:rPr>
        <w:t>[REPRODUCIR EL MOTIVO EXACTO Y SEÑALAR SI EXISTEN OTROS]</w:t>
      </w:r>
      <w:r>
        <w:rPr>
          <w:color w:val="000000"/>
        </w:rPr>
        <w:t xml:space="preserve">. La referencia concreta a la escolarización es </w:t>
      </w:r>
      <w:r>
        <w:rPr>
          <w:b/>
          <w:color w:val="000000"/>
        </w:rPr>
        <w:t>[CITA O RESUMEN FIEL DEL ACTO]</w:t>
      </w:r>
      <w:r>
        <w:rPr>
          <w:color w:val="000000"/>
        </w:rPr>
        <w:t>. Se acompaña la resolución completa y la acreditación de su notificación.</w:t>
      </w:r>
    </w:p>
    <w:p>
      <w:pPr>
        <w:keepLines/>
      </w:pPr>
      <w:r>
        <w:rPr>
          <w:color w:val="000000"/>
        </w:rPr>
        <w:t xml:space="preserve">Tercero. La declaración sanitaria emitida por </w:t>
      </w:r>
      <w:r>
        <w:rPr>
          <w:b/>
          <w:color w:val="000000"/>
        </w:rPr>
        <w:t>[FACULTATIVO DEL SERVICIO PÚBLICO DE SALUD U ÓRGANO SANITARIO AUTONÓMICO]</w:t>
      </w:r>
      <w:r>
        <w:rPr>
          <w:color w:val="000000"/>
        </w:rPr>
        <w:t xml:space="preserve">, de fecha </w:t>
      </w:r>
      <w:r>
        <w:rPr>
          <w:b/>
          <w:color w:val="000000"/>
        </w:rPr>
        <w:t>[FECHA]</w:t>
      </w:r>
      <w:r>
        <w:rPr>
          <w:color w:val="000000"/>
        </w:rPr>
        <w:t xml:space="preserve">, acredita </w:t>
      </w:r>
      <w:r>
        <w:rPr>
          <w:b/>
          <w:color w:val="000000"/>
        </w:rPr>
        <w:t>[ENFERMEDAD O SITUACIÓN CLÍNICA RELEVANTE Y NECESIDAD ACTUAL DE CUIDADOS]</w:t>
      </w:r>
      <w:r>
        <w:rPr>
          <w:color w:val="000000"/>
        </w:rPr>
        <w:t xml:space="preserve">. Las actuaciones concretas que requiere la persona causante son </w:t>
      </w:r>
      <w:r>
        <w:rPr>
          <w:b/>
          <w:color w:val="000000"/>
        </w:rPr>
        <w:t>[CUIDADOS, TRATAMIENTOS O APOYOS; FRECUENCIA Y DISPONIBILIDAD NECESARIA]</w:t>
      </w:r>
      <w:r>
        <w:rPr>
          <w:color w:val="000000"/>
        </w:rPr>
        <w:t xml:space="preserve">. Lo anterior se apoya en </w:t>
      </w:r>
      <w:r>
        <w:rPr>
          <w:b/>
          <w:color w:val="000000"/>
        </w:rPr>
        <w:t>[DOCUMENTOS Y APARTADOS CONCRETOS]</w:t>
      </w:r>
      <w:r>
        <w:rPr>
          <w:color w:val="000000"/>
        </w:rPr>
        <w:t>.</w:t>
      </w:r>
    </w:p>
    <w:p>
      <w:pPr>
        <w:keepLines/>
      </w:pPr>
      <w:r>
        <w:rPr>
          <w:color w:val="000000"/>
        </w:rPr>
        <w:t xml:space="preserve">Cuarto. La asistencia al centro </w:t>
      </w:r>
      <w:r>
        <w:rPr>
          <w:b/>
          <w:color w:val="000000"/>
        </w:rPr>
        <w:t>[IDENTIFICACIÓN]</w:t>
      </w:r>
      <w:r>
        <w:rPr>
          <w:color w:val="000000"/>
        </w:rPr>
        <w:t xml:space="preserve"> se produce en </w:t>
      </w:r>
      <w:r>
        <w:rPr>
          <w:b/>
          <w:color w:val="000000"/>
        </w:rPr>
        <w:t>[DÍAS Y HORARIO REALES; AUSENCIAS O ADAPTACIONES SI LAS HAY]</w:t>
      </w:r>
      <w:r>
        <w:rPr>
          <w:color w:val="000000"/>
        </w:rPr>
        <w:t xml:space="preserve">. Allí se prestan </w:t>
      </w:r>
      <w:r>
        <w:rPr>
          <w:b/>
          <w:color w:val="000000"/>
        </w:rPr>
        <w:t>[APOYOS EFECTIVOS Y SUS LÍMITES]</w:t>
      </w:r>
      <w:r>
        <w:rPr>
          <w:color w:val="000000"/>
        </w:rPr>
        <w:t xml:space="preserve">. Pese a esa asistencia, persisten </w:t>
      </w:r>
      <w:r>
        <w:rPr>
          <w:b/>
          <w:color w:val="000000"/>
        </w:rPr>
        <w:t>[CUIDADOS CONCRETOS, MOMENTO Y DURACIÓN O DISPONIBILIDAD]</w:t>
      </w:r>
      <w:r>
        <w:rPr>
          <w:color w:val="000000"/>
        </w:rPr>
        <w:t xml:space="preserve">, según </w:t>
      </w:r>
      <w:r>
        <w:rPr>
          <w:b/>
          <w:color w:val="000000"/>
        </w:rPr>
        <w:t>[DECLARACIÓN SANITARIA Y PRUEBA COMPLEMENTARIA]</w:t>
      </w:r>
      <w:r>
        <w:rPr>
          <w:color w:val="000000"/>
        </w:rPr>
        <w:t xml:space="preserve">. Mi intervención consiste en </w:t>
      </w:r>
      <w:r>
        <w:rPr>
          <w:b/>
          <w:color w:val="000000"/>
        </w:rPr>
        <w:t>[ACTUACIONES REALES Y SU RELACIÓN CON LA REDUCCIÓN SOLICITADA]</w:t>
      </w:r>
      <w:r>
        <w:rPr>
          <w:color w:val="000000"/>
        </w:rPr>
        <w:t>.</w:t>
      </w:r>
    </w:p>
    <w:p>
      <w:pPr>
        <w:keepLines/>
      </w:pPr>
      <w:r>
        <w:rPr>
          <w:color w:val="000000"/>
        </w:rPr>
        <w:t xml:space="preserve">Quinto. Respecto de los demás requisitos discutidos en la resolución, aporto </w:t>
      </w:r>
      <w:r>
        <w:rPr>
          <w:b/>
          <w:color w:val="000000"/>
        </w:rPr>
        <w:t>[ACTIVIDAD Y ALTA, COTIZACIÓN, EDAD Y VÍNCULO U OTRO REQUISITO CONCRETO, CON SU DOCUMENTO; OMITIR LO QUE NO PROCEDA]</w:t>
      </w:r>
      <w:r>
        <w:rPr>
          <w:color w:val="000000"/>
        </w:rPr>
        <w:t xml:space="preserve">. La escolarización no ha eliminado los cuidados acreditados por </w:t>
      </w:r>
      <w:r>
        <w:rPr>
          <w:b/>
          <w:color w:val="000000"/>
        </w:rPr>
        <w:t>[CONCRECIÓN DOCUMENTADA]</w:t>
      </w:r>
      <w:r>
        <w:rPr>
          <w:color w:val="000000"/>
        </w:rPr>
        <w:t>.</w:t>
      </w:r>
    </w:p>
    <w:p>
      <w:pPr>
        <w:pStyle w:val="Heading1"/>
        <w:keepLines/>
        <w:pageBreakBefore/>
      </w:pPr>
      <w:r>
        <w:rPr>
          <w:color w:val="000000"/>
        </w:rPr>
        <w:t>Fundamentos de la reclamación</w:t>
      </w:r>
    </w:p>
    <w:p>
      <w:pPr>
        <w:keepLines/>
      </w:pPr>
      <w:r>
        <w:rPr>
          <w:color w:val="000000"/>
        </w:rPr>
        <w:t>El artículo 190.5 de la Ley General de la Seguridad Social impide utilizar la asistencia al centro educativo como razón suficiente, por sí sola, para denegar, suspender o extinguir esta prestación. La necesidad de cuidados debe examinarse con la declaración sanitaria y las circunstancias efectivas, aunque exista escolarización ordinaria, parcial, adaptada, terapéutica o intermitente.</w:t>
      </w:r>
    </w:p>
    <w:p>
      <w:pPr>
        <w:keepLines/>
      </w:pPr>
      <w:r>
        <w:rPr>
          <w:color w:val="000000"/>
        </w:rPr>
        <w:t>La documentación aportada permite valorar separadamente los apoyos escolares y los cuidados que siguen siendo necesarios. Solicito que se contraste el motivo de la resolución con esa prueba, sin presumir que el horario escolar equivale a la desaparición del cuidado directo, continuo y permanente.</w:t>
      </w:r>
    </w:p>
    <w:p>
      <w:pPr>
        <w:keepLines/>
      </w:pPr>
      <w:r>
        <w:rPr>
          <w:color w:val="000000"/>
        </w:rPr>
        <w:t>La situación protegida, los requisitos de las personas beneficiarias y la cuantía se rigen por los artículos 190, 191 y 192 de la LGSS y por el desarrollo aplicable al periodo reclamado. No se solicita que la escolarización dispense de los restantes requisitos. La presente reclamación previa se dirige a la entidad competente conforme a los apartados 2 y 3 del artículo 71 LRJS.</w:t>
      </w:r>
    </w:p>
    <w:p>
      <w:pPr>
        <w:pStyle w:val="Heading1"/>
        <w:keepLines/>
      </w:pPr>
      <w:r>
        <w:rPr>
          <w:color w:val="000000"/>
        </w:rPr>
        <w:t>Solicitud</w:t>
      </w:r>
    </w:p>
    <w:p>
      <w:pPr>
        <w:keepLines/>
      </w:pPr>
      <w:r>
        <w:rPr>
          <w:color w:val="000000"/>
        </w:rPr>
        <w:t xml:space="preserve">Que se admita esta reclamación y la documentación acompañada, se deje sin efecto el acto identificado y se declare mi derecho al </w:t>
      </w:r>
      <w:r>
        <w:rPr>
          <w:b/>
          <w:color w:val="000000"/>
        </w:rPr>
        <w:t>[RECONOCIMIENTO INICIAL / MANTENIMIENTO / RESTABLECIMIENTO; ELEGIR SOLO LA CONSECUENCIA DEL ACTO]</w:t>
      </w:r>
      <w:r>
        <w:rPr>
          <w:color w:val="000000"/>
        </w:rPr>
        <w:t xml:space="preserve"> de la prestación CUME para </w:t>
      </w:r>
      <w:r>
        <w:rPr>
          <w:b/>
          <w:color w:val="000000"/>
        </w:rPr>
        <w:t>[PERIODO]</w:t>
      </w:r>
      <w:r>
        <w:rPr>
          <w:color w:val="000000"/>
        </w:rPr>
        <w:t xml:space="preserve">, con los efectos económicos que legalmente correspondan a </w:t>
      </w:r>
      <w:r>
        <w:rPr>
          <w:b/>
          <w:color w:val="000000"/>
        </w:rPr>
        <w:t>[FECHA SOLICITADA Y SU JUSTIFICACIÓN]</w:t>
      </w:r>
      <w:r>
        <w:rPr>
          <w:color w:val="000000"/>
        </w:rPr>
        <w:t>.</w:t>
      </w:r>
    </w:p>
    <w:p>
      <w:pPr>
        <w:keepLines/>
      </w:pPr>
      <w:r>
        <w:rPr>
          <w:color w:val="000000"/>
        </w:rPr>
        <w:t xml:space="preserve">Solicito que se valoren expresamente la declaración sanitaria, los cuidados descritos y los apoyos escolares reales; que se precise cualquier requisito o documento que se considere insuficiente y, cuando proceda, se permita su subsanación. Intereso una resolución motivada y su notificación por </w:t>
      </w:r>
      <w:r>
        <w:rPr>
          <w:b/>
          <w:color w:val="000000"/>
        </w:rPr>
        <w:t>[MEDIO ADMITIDO]</w:t>
      </w:r>
      <w:r>
        <w:rPr>
          <w:color w:val="000000"/>
        </w:rPr>
        <w:t>.</w:t>
      </w:r>
    </w:p>
    <w:p>
      <w:pPr>
        <w:pStyle w:val="Heading1"/>
        <w:keepLines/>
      </w:pPr>
      <w:r>
        <w:rPr>
          <w:color w:val="000000"/>
        </w:rPr>
        <w:t>Documentos que se acompañan</w:t>
      </w:r>
    </w:p>
    <w:p>
      <w:pPr>
        <w:keepLines/>
        <w:jc w:val="left"/>
      </w:pPr>
      <w:r>
        <w:rPr>
          <w:color w:val="000000"/>
        </w:rPr>
        <w:t>1. Resolución impugnada y prueba de notificación.</w:t>
        <w:br/>
        <w:t>2. Declaración sanitaria y documentación clínica pertinente.</w:t>
        <w:br/>
        <w:t>3. Documentación escolar útil para los hechos alegados.</w:t>
        <w:br/>
        <w:t>4. Certificados o documentos de los restantes requisitos discutidos.</w:t>
        <w:br/>
        <w:t xml:space="preserve">5. </w:t>
      </w:r>
      <w:r>
        <w:rPr>
          <w:b/>
          <w:color w:val="000000"/>
        </w:rPr>
        <w:t>[OTROS ANEXOS; IDENTIFICAR NÚMERO, EMISOR, FECHA Y HECHO ACREDITADO]</w:t>
      </w:r>
      <w:r>
        <w:rPr>
          <w:color w:val="000000"/>
        </w:rPr>
        <w:t>.</w:t>
      </w:r>
    </w:p>
    <w:p>
      <w:pPr>
        <w:keepLines/>
        <w:jc w:val="left"/>
      </w:pPr>
      <w:r>
        <w:rPr>
          <w:color w:val="000000"/>
        </w:rPr>
        <w:t xml:space="preserve">En </w:t>
      </w:r>
      <w:r>
        <w:rPr>
          <w:b/>
          <w:color w:val="000000"/>
        </w:rPr>
        <w:t>[LOCALIDAD]</w:t>
      </w:r>
      <w:r>
        <w:rPr>
          <w:color w:val="000000"/>
        </w:rPr>
        <w:t xml:space="preserve">, a </w:t>
      </w:r>
      <w:r>
        <w:rPr>
          <w:b/>
          <w:color w:val="000000"/>
        </w:rPr>
        <w:t>[FECHA]</w:t>
      </w:r>
      <w:r>
        <w:rPr>
          <w:color w:val="000000"/>
        </w:rPr>
        <w:t>.</w:t>
        <w:br/>
        <w:t xml:space="preserve">Firma de </w:t>
      </w:r>
      <w:r>
        <w:rPr>
          <w:b/>
          <w:color w:val="000000"/>
        </w:rPr>
        <w:t>[NOMBRE Y APELLIDOS]</w:t>
      </w:r>
      <w:r>
        <w:rPr>
          <w:color w:val="000000"/>
        </w:rPr>
        <w:t>.</w:t>
        <w:br/>
        <w:t xml:space="preserve">Justificante de presentación: </w:t>
      </w:r>
      <w:r>
        <w:rPr>
          <w:b/>
          <w:color w:val="000000"/>
        </w:rPr>
        <w:t>[FECHA, CANAL Y REFERENCIA]</w:t>
      </w:r>
      <w:r>
        <w:rPr>
          <w:color w:val="000000"/>
        </w:rPr>
        <w:t>.</w:t>
      </w:r>
    </w:p>
    <w:p>
      <w:pPr>
        <w:pStyle w:val="Heading1"/>
        <w:keepLines/>
        <w:pageBreakBefore/>
      </w:pPr>
      <w:r>
        <w:rPr>
          <w:color w:val="000000"/>
        </w:rPr>
        <w:t>Guía de uso y ejemplos</w:t>
      </w:r>
    </w:p>
    <w:p>
      <w:pPr>
        <w:keepLines/>
      </w:pPr>
      <w:r>
        <w:rPr>
          <w:color w:val="000000"/>
        </w:rPr>
        <w:t>Conserva esta guía y no la presentes con la reclamación. El escrito impugna la prestación ante la entidad que resolvió; no pide a la empresa una reducción ni impugna un permiso de personal funcionario.</w:t>
      </w:r>
    </w:p>
    <w:p>
      <w:pPr>
        <w:pStyle w:val="Heading1"/>
        <w:keepLines/>
      </w:pPr>
      <w:r>
        <w:rPr>
          <w:color w:val="000000"/>
        </w:rPr>
        <w:t>Elige el acto y la petición</w:t>
      </w:r>
    </w:p>
    <w:p>
      <w:pPr>
        <w:keepLines/>
      </w:pPr>
      <w:r>
        <w:rPr>
          <w:color w:val="000000"/>
        </w:rPr>
        <w:t>Denegación inicial: pide reconocimiento. Suspensión: pide mantenimiento o restablecimiento desde el periodo discutido. Extinción: pide revocación y restablecimiento. Conserva una sola opción en cada campo y adapta el periodo. Una negativa a prorrogar exige identificar el acto concreto y su efecto.</w:t>
      </w:r>
    </w:p>
    <w:p>
      <w:pPr>
        <w:keepLines/>
      </w:pPr>
      <w:r>
        <w:rPr>
          <w:color w:val="000000"/>
        </w:rPr>
        <w:t>Comprueba los demás motivos de la entidad. No basta responder sobre el colegio si también se discuten la necesidad de cuidados, el alta, la cotización o cualquier otro requisito. Si la decisión es anterior a la reforma, firme o fuera de plazo, debe revisarse el cauce antes de utilizar este escrito; no existe reapertura ni retroactividad económica automática.</w:t>
      </w:r>
    </w:p>
    <w:p>
      <w:pPr>
        <w:pStyle w:val="Heading1"/>
        <w:keepLines/>
      </w:pPr>
      <w:r>
        <w:rPr>
          <w:color w:val="000000"/>
        </w:rPr>
        <w:t>Prepara hechos y prueba</w:t>
      </w:r>
    </w:p>
    <w:p>
      <w:pPr>
        <w:keepLines/>
      </w:pPr>
      <w:r>
        <w:rPr>
          <w:color w:val="000000"/>
        </w:rPr>
        <w:t>Sustituye los corchetes, elimina instrucciones y numera anexos. Explica qué cuidado sigue siendo necesario, quién lo presta y qué documento lo acredita. El certificado escolar ayuda a situar horarios y apoyos; no sustituye la declaración sanitaria del servicio público. Evita adjuntar historia clínica ajena a lo discutido. Conserva copia completa y recibo de presentación.</w:t>
      </w:r>
    </w:p>
    <w:p>
      <w:pPr>
        <w:pStyle w:val="Heading1"/>
        <w:keepLines/>
      </w:pPr>
      <w:r>
        <w:rPr>
          <w:color w:val="000000"/>
        </w:rPr>
        <w:t>Plazos de la reclamación previa</w:t>
      </w:r>
    </w:p>
    <w:p>
      <w:pPr>
        <w:keepLines/>
      </w:pPr>
      <w:r>
        <w:rPr>
          <w:color w:val="000000"/>
        </w:rPr>
        <w:t>La reclamación previa tiene un plazo de 30 días hábiles administrativos desde el día siguiente a la notificación de la resolución expresa. La entidad dispone de 45 días hábiles administrativos para responder; después opera el silencio desestimatorio. La demanda tiene un plazo de 30 días hábiles judiciales desde la notificación de la desestimación de la previa o desde su silencio. Si el expediente inicial no tuvo respuesta expresa, identifica primero cuándo se produjo su silencio. Los calendarios administrativo y judicial son distintos: comprueba días inhábiles y suspensiones aplicables. No uses los plazos especiales de altas médicas.</w:t>
      </w:r>
    </w:p>
    <w:p>
      <w:pPr>
        <w:pStyle w:val="Heading1"/>
        <w:keepLines/>
      </w:pPr>
      <w:r>
        <w:rPr>
          <w:color w:val="000000"/>
        </w:rPr>
        <w:t>Tres ejemplos ficticios</w:t>
      </w:r>
    </w:p>
    <w:p>
      <w:pPr>
        <w:keepLines/>
      </w:pPr>
      <w:r>
        <w:rPr>
          <w:color w:val="000000"/>
        </w:rPr>
        <w:t>Denegación. El centro escolariza de 9 a 12 y la resolución se limita a ese dato. El informe público describe cuidados y disponibilidad que siguen siendo necesarios. Identifica cada cuidado y su respaldo documental; no copies horarios o tratamientos del ejemplo.</w:t>
      </w:r>
    </w:p>
    <w:p>
      <w:pPr>
        <w:keepLines/>
      </w:pPr>
      <w:r>
        <w:rPr>
          <w:color w:val="000000"/>
        </w:rPr>
        <w:t>Suspensión. Se cobraba la prestación y se suspende al comenzar el curso. Compara las necesidades antes y después, el apoyo del centro y el informe sanitario actualizado. La asistencia escolar no prueba por sí sola que haya cesado el cuidado.</w:t>
      </w:r>
    </w:p>
    <w:p>
      <w:pPr>
        <w:keepLines/>
      </w:pPr>
      <w:r>
        <w:rPr>
          <w:color w:val="000000"/>
        </w:rPr>
        <w:t>Extinción. La entidad afirma que el cuidado dejó de ser necesario, además de mencionar el colegio. Debe discutirse esa valoración con hechos y prueba. Si las necesidades han desaparecido realmente, la reforma no permite mantener la prestación solo porque antes se cobrara.</w:t>
      </w:r>
    </w:p>
    <w:p>
      <w:pPr>
        <w:pStyle w:val="Heading1"/>
        <w:keepLines/>
      </w:pPr>
      <w:r>
        <w:rPr>
          <w:color w:val="000000"/>
        </w:rPr>
        <w:t>Fuentes oficiales y versión</w:t>
      </w:r>
    </w:p>
    <w:p>
      <w:pPr>
        <w:spacing w:after="60"/>
        <w:jc w:val="left"/>
      </w:pPr>
      <w:hyperlink r:id="rId17">
        <w:r>
          <w:rPr>
            <w:color w:val="000000"/>
          </w:rPr>
          <w:t>LGSS artículos 190 a 192 y en especial 190.5</w:t>
        </w:r>
      </w:hyperlink>
    </w:p>
    <w:p>
      <w:pPr>
        <w:spacing w:after="60"/>
        <w:jc w:val="left"/>
      </w:pPr>
      <w:hyperlink r:id="rId18">
        <w:r>
          <w:rPr>
            <w:color w:val="000000"/>
          </w:rPr>
          <w:t>Ley 4 de 2026 disposición final duodécima</w:t>
        </w:r>
      </w:hyperlink>
    </w:p>
    <w:p>
      <w:pPr>
        <w:spacing w:after="60"/>
        <w:jc w:val="left"/>
      </w:pPr>
      <w:hyperlink r:id="rId19">
        <w:r>
          <w:rPr>
            <w:color w:val="000000"/>
          </w:rPr>
          <w:t>LRJS artículo 71 apartados 2 3 5 y 6</w:t>
        </w:r>
      </w:hyperlink>
    </w:p>
    <w:p>
      <w:pPr>
        <w:jc w:val="left"/>
        <w:spacing w:after="60"/>
      </w:pPr>
      <w:hyperlink r:id="rId20">
        <w:r>
          <w:rPr>
            <w:color w:val="000000"/>
          </w:rPr>
          <w:t>Ley 39 de 2015 artículo 30 sobre cómputo administrativo</w:t>
        </w:r>
      </w:hyperlink>
    </w:p>
    <w:p>
      <w:pPr>
        <w:keepLines/>
        <w:jc w:val="left"/>
      </w:pPr>
      <w:r>
        <w:rPr>
          <w:color w:val="000000"/>
        </w:rPr>
        <w:t>Versión jurídica de 5 de noviembre de 2026. La regla de escolarización del artículo 190.5 LGSS se aplica desde el 23 de octubre de 2026.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000000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000000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000000"/>
        <w:sz w:val="18"/>
      </w:rPr>
      <w:t>PÉREZ &amp; BURGOS</w:t>
    </w:r>
    <w:r>
      <w:rPr>
        <w:rFonts w:ascii="Arial" w:hAnsi="Arial"/>
        <w:b/>
        <w:color w:val="000000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2" w:lineRule="auto"/>
      <w:jc w:val="both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jc w:val="left"/>
      <w:outlineLvl w:val="0"/>
    </w:pPr>
    <w:rPr>
      <w:rFonts w:ascii="Georgia" w:hAnsi="Georgia"/>
      <w:b/>
      <w:bCs/>
      <w:sz w:val="26"/>
      <w:szCs w:val="28"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jc w:val="left"/>
      <w:outlineLvl w:val="1"/>
    </w:pPr>
    <w:rPr>
      <w:rFonts w:ascii="Georgia" w:hAnsi="Georgia"/>
      <w:b/>
      <w:bCs/>
      <w:sz w:val="22"/>
      <w:szCs w:val="26"/>
      <w:color w:val="00000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  <w:jc w:val="left"/>
    </w:pPr>
    <w:rPr>
      <w:rFonts w:ascii="Georgia" w:hAnsi="Georgia"/>
      <w:b/>
      <w:spacing w:val="5"/>
      <w:kern w:val="28"/>
      <w:sz w:val="40"/>
      <w:szCs w:val="52"/>
      <w:color w:val="00000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00"/>
      <w:jc w:val="left"/>
    </w:pPr>
    <w:rPr>
      <w:rFonts w:asciiTheme="majorHAnsi" w:eastAsiaTheme="majorEastAsia" w:hAnsiTheme="majorHAnsi" w:cstheme="majorBidi"/>
      <w:i/>
      <w:iCs/>
      <w:spacing w:val="15"/>
      <w:sz w:val="22"/>
      <w:szCs w:val="24"/>
      <w:color w:val="000000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Relationship Id="rId14" Type="http://schemas.openxmlformats.org/officeDocument/2006/relationships/hyperlink" Target="https://www.boe.es/buscar/act.php?id=BOE-A-2015-11430#a23" TargetMode="External"/><Relationship Id="rId15" Type="http://schemas.openxmlformats.org/officeDocument/2006/relationships/hyperlink" Target="https://www.poderjudicial.es/search/AN/openDocument/bc8967c890663d1fa0a8778d75e36f0d/20260702" TargetMode="External"/><Relationship Id="rId16" Type="http://schemas.openxmlformats.org/officeDocument/2006/relationships/hyperlink" Target="https://perezburgosabogados.es/prestacion-cume-reduccion-jornada/" TargetMode="External"/><Relationship Id="rId17" Type="http://schemas.openxmlformats.org/officeDocument/2006/relationships/hyperlink" Target="https://www.boe.es/buscar/act.php?id=BOE-A-2015-11724#a190" TargetMode="External"/><Relationship Id="rId18" Type="http://schemas.openxmlformats.org/officeDocument/2006/relationships/hyperlink" Target="https://www.boe.es/buscar/doc.php?id=BOE-A-2026-20528" TargetMode="External"/><Relationship Id="rId19" Type="http://schemas.openxmlformats.org/officeDocument/2006/relationships/hyperlink" Target="https://www.boe.es/buscar/act.php?id=BOE-A-2011-15936#a71" TargetMode="External"/><Relationship Id="rId20" Type="http://schemas.openxmlformats.org/officeDocument/2006/relationships/hyperlink" Target="https://www.boe.es/buscar/act.php?id=BOE-A-2015-10565#a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Microsoft Macintosh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Reclamación previa de la prestación CUME por escolarización</dc:title>
  <dc:subject>Modelo editable de reclamación previa con instrucciones separadas</dc:subject>
  <dc:creator>Pérez &amp; Burgos Abogados</dc:creator>
  <cp:keywords/>
  <dc:description>Modelo general editable. No acredita hechos ni reconocimiento de un expediente.</dc:description>
  <cp:lastModifiedBy>Pérez &amp; Burgos Abogados</cp:lastModifiedBy>
  <cp:revision>1</cp:revision>
  <dcterms:created xsi:type="dcterms:W3CDTF">2026-11-01T00:15:25Z</dcterms:created>
  <dcterms:modified xsi:type="dcterms:W3CDTF">2026-11-04T23:17:08Z</dcterms:modified>
  <cp:category/>
</cp:coreProperties>
</file>