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ACCIDENTES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Reclamación de ocupante, peatón o ciclista lesionado</w:t>
      </w:r>
    </w:p>
    <w:p>
      <w:pPr>
        <w:jc w:val="center"/>
      </w:pPr>
      <w:r>
        <w:rPr>
          <w:rFonts w:ascii="Arial" w:hAnsi="Arial"/>
          <w:color w:val="68777D"/>
          <w:sz w:val="20"/>
        </w:rPr>
        <w:t>Formular reclamación de lesiones según la posición del perjudicado, con datos del accidente y perjuicios sin atribuir responsabilidad automática.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Accidente entre bicicletas sin vehículo a motor al que se aplique indebidamente LRCSCVM; conductor responsable exclusivo presentado como ocupante; fallecimiento sin legitimación comprobada.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A [ASEGURADORA / ENTIDAD OBLIGADA]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[NOMBRE]</w:t>
      </w:r>
      <w:r>
        <w:rPr>
          <w:rFonts w:ascii="Arial" w:hAnsi="Arial"/>
          <w:color w:val="263A43"/>
          <w:sz w:val="20"/>
        </w:rPr>
        <w:t xml:space="preserve">, DNI/NIE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domicilio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canal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por sí o en representación acreditada de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Asunto: reclamación de indemnización como </w:t>
      </w:r>
      <w:r>
        <w:rPr>
          <w:rFonts w:ascii="Arial" w:hAnsi="Arial"/>
          <w:b/>
          <w:color w:val="397CDD"/>
          <w:sz w:val="20"/>
          <w:shd w:fill="E8F0FB"/>
        </w:rPr>
        <w:t>[OCUPANTE / PEATÓN / CICLISTA]</w:t>
      </w:r>
      <w:r>
        <w:rPr>
          <w:rFonts w:ascii="Arial" w:hAnsi="Arial"/>
          <w:color w:val="263A43"/>
          <w:sz w:val="20"/>
        </w:rPr>
        <w:t xml:space="preserve"> lesionado.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, en </w:t>
      </w:r>
      <w:r>
        <w:rPr>
          <w:rFonts w:ascii="Arial" w:hAnsi="Arial"/>
          <w:b/>
          <w:color w:val="397CDD"/>
          <w:sz w:val="20"/>
          <w:shd w:fill="E8F0FB"/>
        </w:rPr>
        <w:t>[LUGAR]</w:t>
      </w:r>
      <w:r>
        <w:rPr>
          <w:rFonts w:ascii="Arial" w:hAnsi="Arial"/>
          <w:color w:val="263A43"/>
          <w:sz w:val="20"/>
        </w:rPr>
        <w:t xml:space="preserve">, se produjo el accidente </w:t>
      </w:r>
      <w:r>
        <w:rPr>
          <w:rFonts w:ascii="Arial" w:hAnsi="Arial"/>
          <w:b/>
          <w:color w:val="397CDD"/>
          <w:sz w:val="20"/>
          <w:shd w:fill="E8F0FB"/>
        </w:rPr>
        <w:t>[DESCRIPCIÓN CRONOLÓGICA]</w:t>
      </w:r>
      <w:r>
        <w:rPr>
          <w:rFonts w:ascii="Arial" w:hAnsi="Arial"/>
          <w:color w:val="263A43"/>
          <w:sz w:val="20"/>
        </w:rPr>
        <w:t xml:space="preserve">. El vehículo o vehículos intervinientes eran </w:t>
      </w:r>
      <w:r>
        <w:rPr>
          <w:rFonts w:ascii="Arial" w:hAnsi="Arial"/>
          <w:b/>
          <w:color w:val="397CDD"/>
          <w:sz w:val="20"/>
          <w:shd w:fill="E8F0FB"/>
        </w:rPr>
        <w:t>[MATRÍCULAS, CONDUCTORES Y ASEGURADORAS CONOCIDOS]</w:t>
      </w:r>
      <w:r>
        <w:rPr>
          <w:rFonts w:ascii="Arial" w:hAnsi="Arial"/>
          <w:color w:val="263A43"/>
          <w:sz w:val="20"/>
        </w:rPr>
        <w:t xml:space="preserve">. Consta </w:t>
      </w:r>
      <w:r>
        <w:rPr>
          <w:rFonts w:ascii="Arial" w:hAnsi="Arial"/>
          <w:b/>
          <w:color w:val="397CDD"/>
          <w:sz w:val="20"/>
          <w:shd w:fill="E8F0FB"/>
        </w:rPr>
        <w:t>[ATESTADO/PARTE/TESTIGOS/IMÁGENES]</w:t>
      </w:r>
      <w:r>
        <w:rPr>
          <w:rFonts w:ascii="Arial" w:hAnsi="Arial"/>
          <w:color w:val="263A43"/>
          <w:sz w:val="20"/>
        </w:rPr>
        <w:t>, que se aporta o identifica.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Mi posición exacta fue </w:t>
      </w:r>
      <w:r>
        <w:rPr>
          <w:rFonts w:ascii="Arial" w:hAnsi="Arial"/>
          <w:b/>
          <w:color w:val="397CDD"/>
          <w:sz w:val="20"/>
          <w:shd w:fill="E8F0FB"/>
        </w:rPr>
        <w:t>[ASIENTO Y VEHÍCULO COMO OCUPANTE / PUNTO Y TRAYECTORIA COMO PEATÓN / VÍA, SENTIDO Y MANIOBRA COMO CICLISTA]</w:t>
      </w:r>
      <w:r>
        <w:rPr>
          <w:rFonts w:ascii="Arial" w:hAnsi="Arial"/>
          <w:color w:val="263A43"/>
          <w:sz w:val="20"/>
        </w:rPr>
        <w:t xml:space="preserve">. Las condiciones de visibilidad, señalización y circulación conocidas eran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El uso de dispositivos de protección y las circunstancias relevantes se describen fielmente: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La responsabilidad que se atribuye se fundamenta en </w:t>
      </w:r>
      <w:r>
        <w:rPr>
          <w:rFonts w:ascii="Arial" w:hAnsi="Arial"/>
          <w:b/>
          <w:color w:val="397CDD"/>
          <w:sz w:val="20"/>
          <w:shd w:fill="E8F0FB"/>
        </w:rPr>
        <w:t>[CONDUCTA Y PRUEBA]</w:t>
      </w:r>
      <w:r>
        <w:rPr>
          <w:rFonts w:ascii="Arial" w:hAnsi="Arial"/>
          <w:color w:val="263A43"/>
          <w:sz w:val="20"/>
        </w:rPr>
        <w:t>, sin dar por resuelta una controversia por la sola condición de víctima. Si se sostiene concurrencia de culpa o reducción indemnizatoria, se solicita identificar la conducta concreta, su incidencia causal y su prueba, sin aplicar un porcentaje genérico. Cuando proceda por edad o situación del perjudicado, deberán examinarse las protecciones legales especiales.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Cuarto. La primera asistencia tuvo lugar el </w:t>
      </w:r>
      <w:r>
        <w:rPr>
          <w:rFonts w:ascii="Arial" w:hAnsi="Arial"/>
          <w:b/>
          <w:color w:val="397CDD"/>
          <w:sz w:val="20"/>
          <w:shd w:fill="E8F0FB"/>
        </w:rPr>
        <w:t>[FECHA Y HORA]</w:t>
      </w:r>
      <w:r>
        <w:rPr>
          <w:rFonts w:ascii="Arial" w:hAnsi="Arial"/>
          <w:color w:val="263A43"/>
          <w:sz w:val="20"/>
        </w:rPr>
        <w:t xml:space="preserve"> en </w:t>
      </w:r>
      <w:r>
        <w:rPr>
          <w:rFonts w:ascii="Arial" w:hAnsi="Arial"/>
          <w:b/>
          <w:color w:val="397CDD"/>
          <w:sz w:val="20"/>
          <w:shd w:fill="E8F0FB"/>
        </w:rPr>
        <w:t>[CENTRO]</w:t>
      </w:r>
      <w:r>
        <w:rPr>
          <w:rFonts w:ascii="Arial" w:hAnsi="Arial"/>
          <w:color w:val="263A43"/>
          <w:sz w:val="20"/>
        </w:rPr>
        <w:t xml:space="preserve">, con </w:t>
      </w:r>
      <w:r>
        <w:rPr>
          <w:rFonts w:ascii="Arial" w:hAnsi="Arial"/>
          <w:b/>
          <w:color w:val="397CDD"/>
          <w:sz w:val="20"/>
          <w:shd w:fill="E8F0FB"/>
        </w:rPr>
        <w:t>[DIAGNÓSTICO DOCUMENTADO]</w:t>
      </w:r>
      <w:r>
        <w:rPr>
          <w:rFonts w:ascii="Arial" w:hAnsi="Arial"/>
          <w:color w:val="263A43"/>
          <w:sz w:val="20"/>
        </w:rPr>
        <w:t>. La evolución, tratamientos y limitaciones se describen en el anexo. Las fechas de baja laboral, alta laboral, alta asistencial y eventual estabilización se diferencian y no se consideran equivalentes por sí mismas.</w:t>
      </w:r>
    </w:p>
    <w:p>
      <w:pPr>
        <w:jc w:val="both"/>
      </w:pPr>
      <w:r>
        <w:rPr>
          <w:rFonts w:ascii="Arial" w:hAnsi="Arial"/>
          <w:color w:val="263A43"/>
          <w:sz w:val="20"/>
        </w:rPr>
        <w:t>Quinto. Se reclaman los perjuicios temporales acreditados, las secuelas que resulten de valoración médica, los gastos necesarios y las pérdidas económicas demostrables. La clasificación de los días se vinculará a la pérdida de calidad de vida efectivamente acreditada, sin convertir automáticamente todos los días de baja laboral en perjuicio moderado.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Sexto. Cuantificación disponible: perjuicio temporal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secuelas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gastos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lucro cesante neto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otros perjuicios individualizados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total provisional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euros. Los conceptos no cuantificables todavía son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Pagos a cuenta y prestaciones que deban considerarse para evitar duplicidades: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No es necesaria una cuantificación cerrada para esta reclamación previa.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>Primero. Que tenga por formulada reclamación del artículo 7 LRCSCVM y tramite la indemnización por los daños y perjuicios legalmente procedentes.</w:t>
      </w:r>
    </w:p>
    <w:p>
      <w:pPr>
        <w:jc w:val="both"/>
      </w:pPr>
      <w:r>
        <w:rPr>
          <w:rFonts w:ascii="Arial" w:hAnsi="Arial"/>
          <w:color w:val="263A43"/>
          <w:sz w:val="20"/>
        </w:rPr>
        <w:t>Segundo. Que emita oferta o respuesta motivada con desglose de días, grados de perjuicio, secuelas, gastos y pérdidas económicas, identificando criterios, régimen temporal y cuantías aplicadas, así como la documentación médica pericial correspondiente.</w:t>
      </w:r>
    </w:p>
    <w:p>
      <w:pPr>
        <w:jc w:val="both"/>
      </w:pPr>
      <w:r>
        <w:rPr>
          <w:rFonts w:ascii="Arial" w:hAnsi="Arial"/>
          <w:color w:val="263A43"/>
          <w:sz w:val="20"/>
        </w:rPr>
        <w:t>Tercero. Que solicite solo los documentos pertinentes que falten y facilite una coordinación razonable de las comprobaciones médicas legalmente previstas, con respeto a la intimidad y acceso del lesionado a los informes que le correspondan.</w:t>
      </w:r>
    </w:p>
    <w:p>
      <w:pPr>
        <w:jc w:val="both"/>
      </w:pPr>
      <w:r>
        <w:rPr>
          <w:rFonts w:ascii="Arial" w:hAnsi="Arial"/>
          <w:color w:val="263A43"/>
          <w:sz w:val="20"/>
        </w:rPr>
        <w:t>Cuarto. Que valore el abono a cuenta de los importes reconocidos, sin condicionar su cobro a un finiquito total. Los derechos de terceros perjudicados no se renuncian ni se ejercen sin representación suficiente.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Anexos: </w:t>
      </w:r>
      <w:r>
        <w:rPr>
          <w:rFonts w:ascii="Arial" w:hAnsi="Arial"/>
          <w:b/>
          <w:color w:val="397CDD"/>
          <w:sz w:val="20"/>
          <w:shd w:fill="E8F0FB"/>
        </w:rPr>
        <w:t>[RELACIÓN DE PRUEBA DEL ACCIDENTE]</w:t>
      </w:r>
      <w:r>
        <w:rPr>
          <w:rFonts w:ascii="Arial" w:hAnsi="Arial"/>
          <w:color w:val="263A43"/>
          <w:sz w:val="20"/>
        </w:rPr>
        <w:t xml:space="preserve">, </w:t>
      </w:r>
      <w:r>
        <w:rPr>
          <w:rFonts w:ascii="Arial" w:hAnsi="Arial"/>
          <w:b/>
          <w:color w:val="397CDD"/>
          <w:sz w:val="20"/>
          <w:shd w:fill="E8F0FB"/>
        </w:rPr>
        <w:t>[CRONOLOGÍA MÉDICA]</w:t>
      </w:r>
      <w:r>
        <w:rPr>
          <w:rFonts w:ascii="Arial" w:hAnsi="Arial"/>
          <w:color w:val="263A43"/>
          <w:sz w:val="20"/>
        </w:rPr>
        <w:t xml:space="preserve">, </w:t>
      </w:r>
      <w:r>
        <w:rPr>
          <w:rFonts w:ascii="Arial" w:hAnsi="Arial"/>
          <w:b/>
          <w:color w:val="397CDD"/>
          <w:sz w:val="20"/>
          <w:shd w:fill="E8F0FB"/>
        </w:rPr>
        <w:t>[INFORMES]</w:t>
      </w:r>
      <w:r>
        <w:rPr>
          <w:rFonts w:ascii="Arial" w:hAnsi="Arial"/>
          <w:color w:val="263A43"/>
          <w:sz w:val="20"/>
        </w:rPr>
        <w:t xml:space="preserve">, </w:t>
      </w:r>
      <w:r>
        <w:rPr>
          <w:rFonts w:ascii="Arial" w:hAnsi="Arial"/>
          <w:b/>
          <w:color w:val="397CDD"/>
          <w:sz w:val="20"/>
          <w:shd w:fill="E8F0FB"/>
        </w:rPr>
        <w:t>[GASTOS]</w:t>
      </w:r>
      <w:r>
        <w:rPr>
          <w:rFonts w:ascii="Arial" w:hAnsi="Arial"/>
          <w:color w:val="263A43"/>
          <w:sz w:val="20"/>
        </w:rPr>
        <w:t xml:space="preserve">, </w:t>
      </w:r>
      <w:r>
        <w:rPr>
          <w:rFonts w:ascii="Arial" w:hAnsi="Arial"/>
          <w:b/>
          <w:color w:val="397CDD"/>
          <w:sz w:val="20"/>
          <w:shd w:fill="E8F0FB"/>
        </w:rPr>
        <w:t>[INGRESOS]</w:t>
      </w:r>
      <w:r>
        <w:rPr>
          <w:rFonts w:ascii="Arial" w:hAnsi="Arial"/>
          <w:color w:val="263A43"/>
          <w:sz w:val="20"/>
        </w:rPr>
        <w:t xml:space="preserve">, </w:t>
      </w:r>
      <w:r>
        <w:rPr>
          <w:rFonts w:ascii="Arial" w:hAnsi="Arial"/>
          <w:b/>
          <w:color w:val="397CDD"/>
          <w:sz w:val="20"/>
          <w:shd w:fill="E8F0FB"/>
        </w:rPr>
        <w:t>[REPRESENTACIÓN]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Formular reclamación de lesiones según la posición del perjudicado, con datos del accidente y perjuicios sin atribuir responsabilidad automática.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Existe lesión y evidencia de intervención de un vehículo o hecho de circulación sujeto al régimen elegido.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Accidente entre bicicletas sin vehículo a motor al que se aplique indebidamente LRCSCVM; conductor responsable exclusivo presentado como ocupante; fallecimiento sin legitimación comprobada.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Acción directa de un año con cómputo individualizado; reclamar sin esperar cuantificación definitiva. Respuesta del asegurador en tres meses conforme al art. 7.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Asegurador responsable u organismo competente; reclamaciones diferenciadas si hay varios obligados y control de recepción.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recomendada; obligatoria por política de seguridad para menores, gran lesión, concurrencia relevante o siniestro internacional.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Atestado; posición y dinámica; primera asistencia; evolución; informes funcionales; ingresos; facturas; representación del menor.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La posición de ocupante, peatón o ciclista no elimina la necesidad de valorar causalidad y eventual concurrencia; se incluyen protecciones especiales sin porcentajes automáticos.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Revisar la fecha del siniestro y el régimen transitorio de la Ley 5/2025. La revisión no significa aplicar retroactivamente todo el baremo actual. La reclamación del art. 7 no exige cuantificación; debe dirigirse al obligado correcto. Su recepción y la notificación fehaciente de oferta/respuesta son relevantes para prescripción. El art. 7.8 permite acudir a MASC o a la vía jurisdiccional en sus términos; no se impone aquí un segundo MASC universal.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ASEGURADORA / ENTIDAD OBLIGADA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OCUPANTE / PEATÓN / CICLISTA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LUGAR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DESCRIPCIÓN CRONOLÓGICA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MATRÍCULAS, CONDUCTORES Y ASEGURADORAS CONOCIDOS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ATESTADO/PARTE/TESTIGOS/IMÁGENES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ASIENTO Y VEHÍCULO COMO OCUPANTE / PUNTO Y TRAYECTORIA COMO PEATÓN / VÍA, SENTIDO Y MANIOBRA COMO CICLISTA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CONDUCTA Y PRUEBA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 Y HORA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CENTRO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DIAGNÓSTICO DOCUMENTADO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RELACIÓN DE PRUEBA DEL ACCIDENTE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CRONOLOGÍA MÉDICA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INFORMES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GASTOS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INGRESOS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REPRESENTACIÓN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RDL 8/2004, responsabilidad civil y seguro en la circulación de vehículos a motor — https://www.boe.es/buscar/act.php?id=BOE-A-2004-18911: arts. 1, 5, 7, 32, 34, 37, 40 y 134 a 143.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5/2025, de 24 de julio: reforma del seguro de circulación y del sistema de valoración — https://www.boe.es/eli/es/l/2025/07/24/5/con: reforma de responsabilidad, reclamación y valoración.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Resolución DGSFP de 3 de febrero de 2026: actualización de indemnizaciones — https://www.boe.es/buscar/doc.php?id=BOE-A-2026-3803: actualización anual, si corresponde.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jc w:val="both"/>
      </w:pPr>
      <w:r>
        <w:rPr>
          <w:rFonts w:ascii="Arial" w:hAnsi="Arial"/>
          <w:color w:val="263A43"/>
          <w:sz w:val="20"/>
        </w:rPr>
        <w:t>Incidencia de verificación: la página consolidada completa del RDL 8/2004 excedió el límite de lectura o devolvió error. Se contrastó la reforma oficial Ley 5/2025, la actualización de 2026 y las fuentes operativas del Consorcio. Antes de publicar o usar los modelos de tráfico, completar la comprobación del texto consolidado íntegro y del régimen temporal del siniestro.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