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60"/>
        <w:jc w:val="center"/>
      </w:pPr>
      <w:r>
        <w:rPr>
          <w:rFonts w:ascii="Arial" w:hAnsi="Arial"/>
          <w:b/>
          <w:color w:val="397CDD"/>
          <w:sz w:val="16"/>
        </w:rPr>
        <w:t>ACCIDENTES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Reclamación de daños materiales del vehículo y objetos</w:t>
      </w:r>
    </w:p>
    <w:p>
      <w:pPr>
        <w:widowControl/>
        <w:spacing w:after="60"/>
        <w:jc w:val="center"/>
      </w:pPr>
      <w:r>
        <w:rPr>
          <w:rFonts w:ascii="Arial" w:hAnsi="Arial"/>
          <w:color w:val="68777D"/>
          <w:sz w:val="20"/>
        </w:rPr>
        <w:t>Reclamar reparación, reposición o pérdida patrimonial del vehículo y objetos, con valoración y prueba de necesidad de gastos accesorios.</w:t>
      </w:r>
    </w:p>
    <w:p>
      <w:pPr>
        <w:pStyle w:val="Heading1"/>
        <w:jc w:val="center"/>
      </w:pPr>
      <w:r>
        <w:t>MODELO EDITABLE</w:t>
      </w:r>
    </w:p>
    <w:p>
      <w:pPr>
        <w:pStyle w:val="Heading2"/>
        <w:keepNext/>
        <w:spacing w:before="120" w:after="60"/>
      </w:pPr>
      <w:r>
        <w:t>A [ASEGURADORA O ENTIDAD OBLIGADA]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Siniestro: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Accidente: </w:t>
      </w:r>
      <w:r>
        <w:rPr>
          <w:rFonts w:ascii="Arial" w:hAnsi="Arial"/>
          <w:b/>
          <w:color w:val="397CDD"/>
          <w:sz w:val="20"/>
          <w:shd w:fill="E8F0FB"/>
        </w:rPr>
        <w:t>[FECHA Y LUGAR]</w:t>
      </w:r>
      <w:r>
        <w:rPr>
          <w:rFonts w:ascii="Arial" w:hAnsi="Arial"/>
          <w:color w:val="263A43"/>
          <w:sz w:val="20"/>
        </w:rPr>
        <w:t>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Reclamante: </w:t>
      </w:r>
      <w:r>
        <w:rPr>
          <w:rFonts w:ascii="Arial" w:hAnsi="Arial"/>
          <w:b/>
          <w:color w:val="397CDD"/>
          <w:sz w:val="20"/>
          <w:shd w:fill="E8F0FB"/>
        </w:rPr>
        <w:t>[NOMBRE O RAZÓN SOCIAL, DNI/NIF, DOMICILIO]</w:t>
      </w:r>
      <w:r>
        <w:rPr>
          <w:rFonts w:ascii="Arial" w:hAnsi="Arial"/>
          <w:color w:val="263A43"/>
          <w:sz w:val="20"/>
        </w:rPr>
        <w:t xml:space="preserve">, en condición de </w:t>
      </w:r>
      <w:r>
        <w:rPr>
          <w:rFonts w:ascii="Arial" w:hAnsi="Arial"/>
          <w:b/>
          <w:color w:val="397CDD"/>
          <w:sz w:val="20"/>
          <w:shd w:fill="E8F0FB"/>
        </w:rPr>
        <w:t>[PROPIETARIO / TITULAR DEL DERECHO / REPRESENTANTE]</w:t>
      </w:r>
      <w:r>
        <w:rPr>
          <w:rFonts w:ascii="Arial" w:hAnsi="Arial"/>
          <w:color w:val="263A43"/>
          <w:sz w:val="20"/>
        </w:rPr>
        <w:t xml:space="preserve">. Canal: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  <w:keepNext/>
        <w:spacing w:before="120" w:after="60"/>
      </w:pPr>
      <w:r>
        <w:t>EXPONE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Primero. Como consecuencia del accidente descrito en </w:t>
      </w:r>
      <w:r>
        <w:rPr>
          <w:rFonts w:ascii="Arial" w:hAnsi="Arial"/>
          <w:b/>
          <w:color w:val="397CDD"/>
          <w:sz w:val="20"/>
          <w:shd w:fill="E8F0FB"/>
        </w:rPr>
        <w:t>[PARTE/ATESTADO Y RECLAMACIÓN PREVIA]</w:t>
      </w:r>
      <w:r>
        <w:rPr>
          <w:rFonts w:ascii="Arial" w:hAnsi="Arial"/>
          <w:color w:val="263A43"/>
          <w:sz w:val="20"/>
        </w:rPr>
        <w:t xml:space="preserve">, cuyo relato esencial es </w:t>
      </w:r>
      <w:r>
        <w:rPr>
          <w:rFonts w:ascii="Arial" w:hAnsi="Arial"/>
          <w:b/>
          <w:color w:val="397CDD"/>
          <w:sz w:val="20"/>
          <w:shd w:fill="E8F0FB"/>
        </w:rPr>
        <w:t>[HECHOS]</w:t>
      </w:r>
      <w:r>
        <w:rPr>
          <w:rFonts w:ascii="Arial" w:hAnsi="Arial"/>
          <w:color w:val="263A43"/>
          <w:sz w:val="20"/>
        </w:rPr>
        <w:t xml:space="preserve">, resultaron dañados el vehículo </w:t>
      </w:r>
      <w:r>
        <w:rPr>
          <w:rFonts w:ascii="Arial" w:hAnsi="Arial"/>
          <w:b/>
          <w:color w:val="397CDD"/>
          <w:sz w:val="20"/>
          <w:shd w:fill="E8F0FB"/>
        </w:rPr>
        <w:t>[MARCA, MODELO, MATRÍCULA Y FECHA DE MATRICULACIÓN]</w:t>
      </w:r>
      <w:r>
        <w:rPr>
          <w:rFonts w:ascii="Arial" w:hAnsi="Arial"/>
          <w:color w:val="263A43"/>
          <w:sz w:val="20"/>
        </w:rPr>
        <w:t xml:space="preserve"> y los objetos que se relacionan. El fundamento de la responsabilidad atribuida es </w:t>
      </w:r>
      <w:r>
        <w:rPr>
          <w:rFonts w:ascii="Arial" w:hAnsi="Arial"/>
          <w:b/>
          <w:color w:val="397CDD"/>
          <w:sz w:val="20"/>
          <w:shd w:fill="E8F0FB"/>
        </w:rPr>
        <w:t>[MANIOBRA, NORMA O PRUEBA]</w:t>
      </w:r>
      <w:r>
        <w:rPr>
          <w:rFonts w:ascii="Arial" w:hAnsi="Arial"/>
          <w:color w:val="263A43"/>
          <w:sz w:val="20"/>
        </w:rPr>
        <w:t>, sin perjuicio de su valoración contradictoria.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Segundo. El vehículo se encuentra en </w:t>
      </w:r>
      <w:r>
        <w:rPr>
          <w:rFonts w:ascii="Arial" w:hAnsi="Arial"/>
          <w:b/>
          <w:color w:val="397CDD"/>
          <w:sz w:val="20"/>
          <w:shd w:fill="E8F0FB"/>
        </w:rPr>
        <w:t>[TALLER Y DIRECCIÓN]</w:t>
      </w:r>
      <w:r>
        <w:rPr>
          <w:rFonts w:ascii="Arial" w:hAnsi="Arial"/>
          <w:color w:val="263A43"/>
          <w:sz w:val="20"/>
        </w:rPr>
        <w:t xml:space="preserve">, disponible para inspección mediante coordinación con </w:t>
      </w:r>
      <w:r>
        <w:rPr>
          <w:rFonts w:ascii="Arial" w:hAnsi="Arial"/>
          <w:b/>
          <w:color w:val="397CDD"/>
          <w:sz w:val="20"/>
          <w:shd w:fill="E8F0FB"/>
        </w:rPr>
        <w:t>[CONTACTO]</w:t>
      </w:r>
      <w:r>
        <w:rPr>
          <w:rFonts w:ascii="Arial" w:hAnsi="Arial"/>
          <w:color w:val="263A43"/>
          <w:sz w:val="20"/>
        </w:rPr>
        <w:t xml:space="preserve">. Los daños observados y documentados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Su estado y daños previos conocidos eran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conservan fotografías y documentos anteriores a la reparación o retirada.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Tercero. La valoración propuesta es </w:t>
      </w:r>
      <w:r>
        <w:rPr>
          <w:rFonts w:ascii="Arial" w:hAnsi="Arial"/>
          <w:b/>
          <w:color w:val="397CDD"/>
          <w:sz w:val="20"/>
          <w:shd w:fill="E8F0FB"/>
        </w:rPr>
        <w:t>[REPARACIÓN SEGÚN PRESUPUESTO/FACTURA DE FECHA ... POR ... EUROS / VALOR DEL VEHÍCULO ANTES DEL SINIESTRO SEGÚN INFORME ...]</w:t>
      </w:r>
      <w:r>
        <w:rPr>
          <w:rFonts w:ascii="Arial" w:hAnsi="Arial"/>
          <w:color w:val="263A43"/>
          <w:sz w:val="20"/>
        </w:rPr>
        <w:t>. En caso de discusión sobre pérdida total, se solicita valoración razonada de las alternativas, el valor anterior, la reparación y el destino y valor de los restos, sin deducciones no justificadas ni doble cómputo.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Cuarto. También se reclaman los gastos necesarios y proporcionados de </w:t>
      </w:r>
      <w:r>
        <w:rPr>
          <w:rFonts w:ascii="Arial" w:hAnsi="Arial"/>
          <w:b/>
          <w:color w:val="397CDD"/>
          <w:sz w:val="20"/>
          <w:shd w:fill="E8F0FB"/>
        </w:rPr>
        <w:t>[GRÚA, DEPÓSITO, PERITACIÓN, TRANSPORTE ALTERNATIVO U OTROS]</w:t>
      </w:r>
      <w:r>
        <w:rPr>
          <w:rFonts w:ascii="Arial" w:hAnsi="Arial"/>
          <w:color w:val="263A43"/>
          <w:sz w:val="20"/>
        </w:rPr>
        <w:t xml:space="preserve">, por las razones y períodos indicados en el anexo. El vehículo de sustitución, cuando se reclama, fue necesario para </w:t>
      </w:r>
      <w:r>
        <w:rPr>
          <w:rFonts w:ascii="Arial" w:hAnsi="Arial"/>
          <w:b/>
          <w:color w:val="397CDD"/>
          <w:sz w:val="20"/>
          <w:shd w:fill="E8F0FB"/>
        </w:rPr>
        <w:t>[FINALIDAD ACREDITADA]</w:t>
      </w:r>
      <w:r>
        <w:rPr>
          <w:rFonts w:ascii="Arial" w:hAnsi="Arial"/>
          <w:color w:val="263A43"/>
          <w:sz w:val="20"/>
        </w:rPr>
        <w:t xml:space="preserve">, durante </w:t>
      </w:r>
      <w:r>
        <w:rPr>
          <w:rFonts w:ascii="Arial" w:hAnsi="Arial"/>
          <w:b/>
          <w:color w:val="397CDD"/>
          <w:sz w:val="20"/>
          <w:shd w:fill="E8F0FB"/>
        </w:rPr>
        <w:t>[PERÍODO]</w:t>
      </w:r>
      <w:r>
        <w:rPr>
          <w:rFonts w:ascii="Arial" w:hAnsi="Arial"/>
          <w:color w:val="263A43"/>
          <w:sz w:val="20"/>
        </w:rPr>
        <w:t xml:space="preserve">, con coste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y se han adoptado estas medidas para limitar el perjuicio: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Quinto. Los objetos dañados son </w:t>
      </w:r>
      <w:r>
        <w:rPr>
          <w:rFonts w:ascii="Arial" w:hAnsi="Arial"/>
          <w:b/>
          <w:color w:val="397CDD"/>
          <w:sz w:val="20"/>
          <w:shd w:fill="E8F0FB"/>
        </w:rPr>
        <w:t>[DESCRIPCIÓN, PROPIETARIO, ANTIGÜEDAD Y ESTADO]</w:t>
      </w:r>
      <w:r>
        <w:rPr>
          <w:rFonts w:ascii="Arial" w:hAnsi="Arial"/>
          <w:color w:val="263A43"/>
          <w:sz w:val="20"/>
        </w:rPr>
        <w:t xml:space="preserve">. Se aporta prueba de existencia, daño y valor. La valoración considera </w:t>
      </w:r>
      <w:r>
        <w:rPr>
          <w:rFonts w:ascii="Arial" w:hAnsi="Arial"/>
          <w:b/>
          <w:color w:val="397CDD"/>
          <w:sz w:val="20"/>
          <w:shd w:fill="E8F0FB"/>
        </w:rPr>
        <w:t>[REPARACIÓN O REPOSICIÓN RAZONABLE Y DEPRECIACIÓN JUSTIFICADA]</w:t>
      </w:r>
      <w:r>
        <w:rPr>
          <w:rFonts w:ascii="Arial" w:hAnsi="Arial"/>
          <w:color w:val="263A43"/>
          <w:sz w:val="20"/>
        </w:rPr>
        <w:t>, sin reclamar como nuevos bienes cuyo valor anterior fuera inferior.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Sexto. Total por vehículo: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Objetos: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Gastos accesorios: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Menos cantidades ya percibidas por los mismos conceptos: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Total reclamado: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euros. El IVA </w:t>
      </w:r>
      <w:r>
        <w:rPr>
          <w:rFonts w:ascii="Arial" w:hAnsi="Arial"/>
          <w:b/>
          <w:color w:val="397CDD"/>
          <w:sz w:val="20"/>
          <w:shd w:fill="E8F0FB"/>
        </w:rPr>
        <w:t>[SE INCLUYE POR SER COSTE EFECTIVO NO DEDUCIBLE / SE EXCLUYE EN LA PARTE DEDUCIBLE, CON JUSTIFICACIÓN]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  <w:keepNext/>
        <w:spacing w:before="120" w:after="60"/>
      </w:pPr>
      <w:r>
        <w:t>SOLICITA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Primero. Que abone la cantidad acreditada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 o formule valoración alternativa motivada, con copia del informe pericial, criterios y cálculos empleados.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Segundo. Que coordine sin demora una eventual inspección, evitando agravar los costes de depósito o inmovilización. Las actuaciones necesarias de conservación o seguridad se documentarán; su práctica no supone aceptación de la valoración del asegurador.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Tercero. Que identifique separadamente los conceptos admitidos y discutidos y, cuando proceda, abone a cuenta los no controvertidos sin exigir renuncia a los restantes daños personales o materiales.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Cuarto. Que facilite oferta o respuesta motivada conforme al artículo 7 LRCSCVM. Esta reclamación no supone transmisión de los restos ni aceptación de un finiquito; ambas cuestiones, si se plantean, deberán acordarse expresamente.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  <w:keepNext/>
        <w:spacing w:before="120" w:after="60"/>
      </w:pPr>
      <w:r>
        <w:t>ANEXO DE PARTIDAS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Partida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: bien/gasto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titular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necesidad y relación causal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documento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base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IVA no deducible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total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cantidad ya cobrada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pendiente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Repetir por concepto y comprobar sumas.</w:t>
      </w:r>
    </w:p>
    <w:p>
      <w:pPr>
        <w:keepNext/>
        <w:widowControl/>
        <w:spacing w:after="60"/>
      </w:pPr>
      <w:r>
        <w:br w:type="page"/>
      </w:r>
    </w:p>
    <w:p>
      <w:pPr>
        <w:pStyle w:val="Heading1"/>
        <w:pageBreakBefore/>
        <w:jc w:val="center"/>
      </w:pPr>
      <w:r>
        <w:rPr>
          <w:sz w:val="34"/>
        </w:rPr>
        <w:t>GUÍA DE REVISIÓN · NO ADJUNTAR AL ESCRITO</w:t>
      </w:r>
    </w:p>
    <w:p>
      <w:pPr>
        <w:pStyle w:val="Heading2"/>
        <w:keepNext/>
        <w:spacing w:before="120" w:after="60"/>
      </w:pPr>
      <w:r>
        <w:t>Finalidad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Reclamar reparación, reposición o pérdida patrimonial del vehículo y objetos, con valoración y prueba de necesidad de gastos accesorios.</w:t>
      </w:r>
    </w:p>
    <w:p>
      <w:pPr>
        <w:pStyle w:val="Heading2"/>
        <w:keepNext/>
        <w:spacing w:before="120" w:after="60"/>
      </w:pPr>
      <w:r>
        <w:t>Cuándo utilizarlo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Hay daño material causalmente vinculado al accidente, con presupuesto, factura, peritación o evidencia conservada.</w:t>
      </w:r>
    </w:p>
    <w:p>
      <w:pPr>
        <w:pStyle w:val="Heading2"/>
        <w:keepNext/>
        <w:spacing w:before="120" w:after="60"/>
      </w:pPr>
      <w:r>
        <w:t>Cuándo no utilizarlo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Daño previo, falta de titularidad o cesión/subrogación no aclarada; desguace o reparación sin preservar prueba cuando pueda evitarse.</w:t>
      </w:r>
    </w:p>
    <w:p>
      <w:pPr>
        <w:pStyle w:val="Heading2"/>
        <w:keepNext/>
        <w:spacing w:before="120" w:after="60"/>
      </w:pPr>
      <w:r>
        <w:t>Plazos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Prescripción individualizada de la acción y reclamación fehaciente. Oferta/respuesta del art. 7: tres meses desde recepción; no confundir con el plazo del taller.</w:t>
      </w:r>
    </w:p>
    <w:p>
      <w:pPr>
        <w:pStyle w:val="Heading2"/>
        <w:keepNext/>
        <w:spacing w:before="120" w:after="60"/>
      </w:pPr>
      <w:r>
        <w:t>Dónde y cómo presentarlo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Asegurador responsable u obligado competente, con copia de peritación y anexos; permitir inspección en condiciones razonables.</w:t>
      </w:r>
    </w:p>
    <w:p>
      <w:pPr>
        <w:pStyle w:val="Heading2"/>
        <w:keepNext/>
        <w:spacing w:before="120" w:after="60"/>
      </w:pPr>
      <w:r>
        <w:t>Intervención y revisión profesional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Revisión recomendada en pérdida total, gran diferencia entre reparación y valor previo o perjuicios empresariales.</w:t>
      </w:r>
    </w:p>
    <w:p>
      <w:pPr>
        <w:pStyle w:val="Heading2"/>
        <w:keepNext/>
        <w:spacing w:before="120" w:after="60"/>
      </w:pPr>
      <w:r>
        <w:t>Documentación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Titularidad; fotos; presupuesto/factura; peritación; valor anterior; grúa/depósito; objetos y antigüedad; necesidad de sustitución.</w:t>
      </w:r>
    </w:p>
    <w:p>
      <w:pPr>
        <w:pStyle w:val="Heading2"/>
        <w:keepNext/>
        <w:spacing w:before="120" w:after="60"/>
      </w:pPr>
      <w:r>
        <w:t>Uso y límites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Útil si identifica propiedad y daños. No promete valor de nuevo, valor de afección fijo, reparación ilimitada ni vehículo de sustitución automático.</w:t>
      </w:r>
    </w:p>
    <w:p>
      <w:pPr>
        <w:pStyle w:val="Heading2"/>
        <w:keepNext/>
        <w:spacing w:before="120" w:after="60"/>
      </w:pPr>
      <w:r>
        <w:t>Advertencias específicas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Revisar la fecha del siniestro y el régimen transitorio de la Ley 5/2025. La revisión no significa aplicar retroactivamente todo el baremo actual. La reclamación del art. 7 no exige cuantificación; debe dirigirse al obligado correcto. Su recepción y la notificación fehaciente de oferta/respuesta son relevantes para prescripción. El art. 7.8 permite acudir a MASC o a la vía jurisdiccional en sus términos; no se impone aquí un segundo MASC universal.</w:t>
      </w:r>
    </w:p>
    <w:p>
      <w:pPr>
        <w:pStyle w:val="Heading2"/>
        <w:keepNext/>
        <w:spacing w:before="120" w:after="60"/>
      </w:pPr>
      <w:r>
        <w:t>Cumplimentación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  <w:keepNext/>
        <w:spacing w:before="120" w:after="60"/>
      </w:pPr>
      <w:r>
        <w:t>Fuentes oficiales</w:t>
      </w:r>
    </w:p>
    <w:p>
      <w:pPr>
        <w:pStyle w:val="ListBullet"/>
        <w:widowControl/>
        <w:spacing w:after="60"/>
      </w:pPr>
      <w:hyperlink r:id="rId11">
        <w:r>
          <w:rPr>
            <w:color w:val="2E7CF6"/>
            <w:u w:val="single"/>
          </w:rPr>
          <w:t>RDL 8/2004, responsabilidad civil y seguro en la circulación de vehículos a motor arts. 1 y 7.</w:t>
        </w:r>
      </w:hyperlink>
    </w:p>
    <w:p>
      <w:pPr>
        <w:pStyle w:val="ListBullet"/>
        <w:widowControl/>
        <w:spacing w:after="60"/>
      </w:pPr>
      <w:hyperlink r:id="rId12">
        <w:r>
          <w:rPr>
            <w:color w:val="2E7CF6"/>
            <w:u w:val="single"/>
          </w:rPr>
          <w:t>Ley 5/2025, de 24 de julio: reforma del seguro de circulación y del sistema de valoración redacción del art. 7.</w:t>
        </w:r>
      </w:hyperlink>
    </w:p>
    <w:p>
      <w:pPr>
        <w:pStyle w:val="ListBullet"/>
        <w:widowControl/>
        <w:spacing w:after="60"/>
      </w:pPr>
      <w:hyperlink r:id="rId13">
        <w:r>
          <w:rPr>
            <w:color w:val="2E7CF6"/>
            <w:u w:val="single"/>
          </w:rPr>
          <w:t>Código Civil arts. 1106 y 1902.</w:t>
        </w:r>
      </w:hyperlink>
    </w:p>
    <w:p>
      <w:pPr>
        <w:widowControl/>
        <w:spacing w:after="60"/>
        <w:jc w:val="left"/>
      </w:pPr>
      <w:r>
        <w:t>Revisión documental: 3 de octubre de 2026. Comprueba la norma vigente, el cauce y las particularidades del caso, incluidos los regímenes territoriales o especiales. No garantiza un resultado ni sustituye formularios obligatorios o la intervención profesional exigible.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04-18911" TargetMode="External"/><Relationship Id="rId12" Type="http://schemas.openxmlformats.org/officeDocument/2006/relationships/hyperlink" Target="https://www.boe.es/eli/es/l/2025/07/24/5/con" TargetMode="External"/><Relationship Id="rId13" Type="http://schemas.openxmlformats.org/officeDocument/2006/relationships/hyperlink" Target="https://www.boe.es/buscar/act.php?id=BOE-A-1889-4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