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CIVIL Y CONTRATOS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Reclamación por producto o servicio defectuoso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Reclamación estructurada a empresa o profesional por falta de conformidad o servicio defectuoso.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Empresa o profesional reclamado.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Compra o servicio</w:t>
      </w:r>
    </w:p>
    <w:p>
      <w:pPr>
        <w:jc w:val="both"/>
      </w:pPr>
      <w:r>
        <w:rPr>
          <w:rFonts w:ascii="Arial" w:hAnsi="Arial"/>
        </w:rPr>
        <w:t xml:space="preserve">Producto o servicio: </w:t>
      </w:r>
      <w:r>
        <w:rPr>
          <w:rFonts w:ascii="Arial" w:hAnsi="Arial"/>
          <w:b/>
          <w:color w:val="397CDD"/>
          <w:shd w:fill="E5EFFC"/>
        </w:rPr>
        <w:t>{{OBJETO}}</w:t>
      </w:r>
      <w:r>
        <w:rPr>
          <w:rFonts w:ascii="Arial" w:hAnsi="Arial"/>
        </w:rPr>
        <w:t xml:space="preserve">. Fecha: </w:t>
      </w:r>
      <w:r>
        <w:rPr>
          <w:rFonts w:ascii="Arial" w:hAnsi="Arial"/>
          <w:b/>
          <w:color w:val="397CDD"/>
          <w:shd w:fill="E5EFFC"/>
        </w:rPr>
        <w:t>{{FECHA}}</w:t>
      </w:r>
      <w:r>
        <w:rPr>
          <w:rFonts w:ascii="Arial" w:hAnsi="Arial"/>
        </w:rPr>
        <w:t xml:space="preserve">. Precio: </w:t>
      </w:r>
      <w:r>
        <w:rPr>
          <w:rFonts w:ascii="Arial" w:hAnsi="Arial"/>
          <w:b/>
          <w:color w:val="397CDD"/>
          <w:shd w:fill="E5EFFC"/>
        </w:rPr>
        <w:t>{{PRECIO}}</w:t>
      </w:r>
      <w:r>
        <w:rPr>
          <w:rFonts w:ascii="Arial" w:hAnsi="Arial"/>
        </w:rPr>
        <w:t xml:space="preserve">. Pedido, factura o contrato: </w:t>
      </w:r>
      <w:r>
        <w:rPr>
          <w:rFonts w:ascii="Arial" w:hAnsi="Arial"/>
          <w:b/>
          <w:color w:val="397CDD"/>
          <w:shd w:fill="E5EFFC"/>
        </w:rPr>
        <w:t>{{REFERENCIA}}</w:t>
      </w:r>
      <w:r>
        <w:rPr>
          <w:rFonts w:ascii="Arial" w:hAnsi="Arial"/>
        </w:rPr>
        <w:t>.</w:t>
      </w:r>
    </w:p>
    <w:p>
      <w:pPr>
        <w:pStyle w:val="Heading2"/>
      </w:pPr>
      <w:r>
        <w:t>Defecto</w:t>
      </w:r>
    </w:p>
    <w:p>
      <w:pPr>
        <w:jc w:val="both"/>
      </w:pPr>
      <w:r>
        <w:rPr>
          <w:rFonts w:ascii="Arial" w:hAnsi="Arial"/>
        </w:rPr>
        <w:t xml:space="preserve">La falta de conformidad o deficiencia consiste en </w:t>
      </w:r>
      <w:r>
        <w:rPr>
          <w:rFonts w:ascii="Arial" w:hAnsi="Arial"/>
          <w:b/>
          <w:color w:val="397CDD"/>
          <w:shd w:fill="E5EFFC"/>
        </w:rPr>
        <w:t>{{DEFECTO}}</w:t>
      </w:r>
      <w:r>
        <w:rPr>
          <w:rFonts w:ascii="Arial" w:hAnsi="Arial"/>
        </w:rPr>
        <w:t xml:space="preserve"> y se manifestó el </w:t>
      </w:r>
      <w:r>
        <w:rPr>
          <w:rFonts w:ascii="Arial" w:hAnsi="Arial"/>
          <w:b/>
          <w:color w:val="397CDD"/>
          <w:shd w:fill="E5EFFC"/>
        </w:rPr>
        <w:t>{{FECHA_DETECCION}}</w:t>
      </w:r>
      <w:r>
        <w:rPr>
          <w:rFonts w:ascii="Arial" w:hAnsi="Arial"/>
        </w:rPr>
        <w:t>.</w:t>
      </w:r>
    </w:p>
    <w:p>
      <w:pPr>
        <w:pStyle w:val="Heading2"/>
      </w:pPr>
      <w:r>
        <w:t>Gestiones previas</w:t>
      </w:r>
    </w:p>
    <w:p>
      <w:pPr>
        <w:jc w:val="both"/>
      </w:pPr>
      <w:r>
        <w:rPr>
          <w:rFonts w:ascii="Arial" w:hAnsi="Arial"/>
        </w:rPr>
        <w:t xml:space="preserve">Se comunicó mediante </w:t>
      </w:r>
      <w:r>
        <w:rPr>
          <w:rFonts w:ascii="Arial" w:hAnsi="Arial"/>
          <w:b/>
          <w:color w:val="397CDD"/>
          <w:shd w:fill="E5EFFC"/>
        </w:rPr>
        <w:t>{{GESTIONES_PREVIAS}}</w:t>
      </w:r>
      <w:r>
        <w:rPr>
          <w:rFonts w:ascii="Arial" w:hAnsi="Arial"/>
        </w:rPr>
        <w:t xml:space="preserve"> y la respuesta fue </w:t>
      </w:r>
      <w:r>
        <w:rPr>
          <w:rFonts w:ascii="Arial" w:hAnsi="Arial"/>
          <w:b/>
          <w:color w:val="397CDD"/>
          <w:shd w:fill="E5EFFC"/>
        </w:rPr>
        <w:t>{{RESPUESTA_EMPRESA}}</w:t>
      </w:r>
      <w:r>
        <w:rPr>
          <w:rFonts w:ascii="Arial" w:hAnsi="Arial"/>
        </w:rPr>
        <w:t>.</w:t>
      </w:r>
    </w:p>
    <w:p>
      <w:pPr>
        <w:pStyle w:val="Heading2"/>
      </w:pPr>
      <w:r>
        <w:t>Solución solicitada</w:t>
      </w:r>
    </w:p>
    <w:p>
      <w:pPr>
        <w:jc w:val="both"/>
      </w:pPr>
      <w:r>
        <w:rPr>
          <w:rFonts w:ascii="Arial" w:hAnsi="Arial"/>
        </w:rPr>
        <w:t xml:space="preserve">Se solicita </w:t>
      </w:r>
      <w:r>
        <w:rPr>
          <w:rFonts w:ascii="Arial" w:hAnsi="Arial"/>
          <w:b/>
          <w:color w:val="397CDD"/>
          <w:shd w:fill="E5EFFC"/>
        </w:rPr>
        <w:t>{{REPARACION_SUSTITUCION_REBAJA_RESOLUCION}}</w:t>
      </w:r>
      <w:r>
        <w:rPr>
          <w:rFonts w:ascii="Arial" w:hAnsi="Arial"/>
        </w:rPr>
        <w:t xml:space="preserve">, junto con </w:t>
      </w:r>
      <w:r>
        <w:rPr>
          <w:rFonts w:ascii="Arial" w:hAnsi="Arial"/>
          <w:b/>
          <w:color w:val="397CDD"/>
          <w:shd w:fill="E5EFFC"/>
        </w:rPr>
        <w:t>{{GASTOS_ACREDITADOS}}</w:t>
      </w:r>
      <w:r>
        <w:rPr>
          <w:rFonts w:ascii="Arial" w:hAnsi="Arial"/>
        </w:rPr>
        <w:t>.</w:t>
      </w:r>
    </w:p>
    <w:p>
      <w:pPr>
        <w:pStyle w:val="Heading2"/>
      </w:pPr>
      <w:r>
        <w:t>Plazo y escalado</w:t>
      </w:r>
    </w:p>
    <w:p>
      <w:pPr>
        <w:jc w:val="both"/>
      </w:pPr>
      <w:r>
        <w:rPr>
          <w:rFonts w:ascii="Arial" w:hAnsi="Arial"/>
        </w:rPr>
        <w:t xml:space="preserve">Se solicita respuesta escrita en </w:t>
      </w:r>
      <w:r>
        <w:rPr>
          <w:rFonts w:ascii="Arial" w:hAnsi="Arial"/>
          <w:b/>
          <w:color w:val="397CDD"/>
          <w:shd w:fill="E5EFFC"/>
        </w:rPr>
        <w:t>{{PLAZO}}</w:t>
      </w:r>
      <w:r>
        <w:rPr>
          <w:rFonts w:ascii="Arial" w:hAnsi="Arial"/>
        </w:rPr>
        <w:t xml:space="preserve"> días. En ausencia de solución se valorará consumo, mediación, arbitraje o reclamación judicial.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Factura o contrato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Fotos y comunicaciones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Garantía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Presupuesto de reparación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Identificación de empresa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solución disponible depende del contrato y de si actúas como consumidor.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Conserva el producto y permite inspección razonable cuando proceda.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confundas garantía comercial y derechos legales.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Texto refundido de la Ley General para la Defensa de los Consumidores</w:t>
      </w:r>
      <w:r>
        <w:t xml:space="preserve"> — https://www.boe.es/buscar/act.php?id=BOE-A-2007-20555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