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397CDD"/>
          <w:sz w:val="16"/>
        </w:rPr>
        <w:t>CIVIL Y HERENCIAS</w:t>
      </w:r>
    </w:p>
    <w:p>
      <w:pPr>
        <w:pStyle w:val="Title"/>
        <w:jc w:val="center"/>
      </w:pPr>
      <w:r>
        <w:rPr>
          <w:rFonts w:ascii="Georgia" w:hAnsi="Georgia"/>
          <w:b/>
          <w:color w:val="102E3C"/>
          <w:sz w:val="42"/>
        </w:rPr>
        <w:t>Propuesta de reparto de herencia para negociar entre coherederos</w:t>
      </w:r>
    </w:p>
    <w:p>
      <w:pPr>
        <w:jc w:val="center"/>
      </w:pPr>
      <w:r>
        <w:rPr>
          <w:rFonts w:ascii="Arial" w:hAnsi="Arial"/>
          <w:color w:val="68777D"/>
          <w:sz w:val="20"/>
        </w:rPr>
        <w:t>Borrador no vinculante para comparar lotes, valores y compensaciones antes de cerrar una partición hereditaria.</w:t>
      </w:r>
    </w:p>
    <w:p>
      <w:pPr>
        <w:pStyle w:val="Heading1"/>
        <w:jc w:val="center"/>
      </w:pPr>
      <w:r>
        <w:t>MODELO EDITABLE</w:t>
      </w:r>
    </w:p>
    <w:p>
      <w:pPr>
        <w:jc w:val="both"/>
      </w:pPr>
      <w:r>
        <w:rPr>
          <w:rFonts w:ascii="Arial" w:hAnsi="Arial"/>
          <w:color w:val="263A43"/>
          <w:sz w:val="20"/>
        </w:rPr>
        <w:t>Complete los campos entre corchetes. Antes de presentar una carta, elimine las indicaciones de uso y las alternativas no aplicables. Las fichas y borradores conservan su carácter preparatorio.</w:t>
      </w:r>
    </w:p>
    <w:p>
      <w:pPr>
        <w:pStyle w:val="Heading2"/>
      </w:pPr>
      <w:r>
        <w:t>PROPUESTA NO VINCULANTE DE REPARTO — SOLO PARA DISCUSIÓN</w:t>
      </w:r>
    </w:p>
    <w:p>
      <w:pPr>
        <w:jc w:val="both"/>
      </w:pPr>
      <w:r>
        <w:rPr>
          <w:rFonts w:ascii="Arial" w:hAnsi="Arial"/>
          <w:color w:val="263A43"/>
          <w:sz w:val="20"/>
        </w:rPr>
        <w:t xml:space="preserve">Sucesión de: </w:t>
      </w:r>
      <w:r>
        <w:rPr>
          <w:rFonts w:ascii="Arial" w:hAnsi="Arial"/>
          <w:b/>
          <w:color w:val="397CDD"/>
          <w:sz w:val="20"/>
          <w:shd w:fill="E8F0FB"/>
        </w:rPr>
        <w:t>[CAUSANTE]</w:t>
      </w:r>
      <w:r>
        <w:rPr>
          <w:rFonts w:ascii="Arial" w:hAnsi="Arial"/>
          <w:color w:val="263A43"/>
          <w:sz w:val="20"/>
        </w:rPr>
        <w:t xml:space="preserve">. Fecha: </w:t>
      </w:r>
      <w:r>
        <w:rPr>
          <w:rFonts w:ascii="Arial" w:hAnsi="Arial"/>
          <w:b/>
          <w:color w:val="397CDD"/>
          <w:sz w:val="20"/>
          <w:shd w:fill="E8F0FB"/>
        </w:rPr>
        <w:t>[FECHA]</w:t>
      </w:r>
      <w:r>
        <w:rPr>
          <w:rFonts w:ascii="Arial" w:hAnsi="Arial"/>
          <w:color w:val="263A43"/>
          <w:sz w:val="20"/>
        </w:rPr>
        <w:t xml:space="preserve">. Versión: </w:t>
      </w:r>
      <w:r>
        <w:rPr>
          <w:rFonts w:ascii="Arial" w:hAnsi="Arial"/>
          <w:b/>
          <w:color w:val="397CDD"/>
          <w:sz w:val="20"/>
          <w:shd w:fill="E8F0FB"/>
        </w:rPr>
        <w:t>[VERSIÓN]</w:t>
      </w:r>
      <w:r>
        <w:rPr>
          <w:rFonts w:ascii="Arial" w:hAnsi="Arial"/>
          <w:color w:val="263A43"/>
          <w:sz w:val="20"/>
        </w:rPr>
        <w:t>.</w:t>
      </w:r>
    </w:p>
    <w:p>
      <w:pPr>
        <w:jc w:val="both"/>
      </w:pPr>
      <w:r>
        <w:rPr>
          <w:rFonts w:ascii="Arial" w:hAnsi="Arial"/>
          <w:color w:val="263A43"/>
          <w:sz w:val="20"/>
        </w:rPr>
        <w:t xml:space="preserve">Persona proponente y destinatarios: </w:t>
      </w:r>
      <w:r>
        <w:rPr>
          <w:rFonts w:ascii="Arial" w:hAnsi="Arial"/>
          <w:b/>
          <w:color w:val="397CDD"/>
          <w:sz w:val="20"/>
          <w:shd w:fill="E8F0FB"/>
        </w:rPr>
        <w:t>[RELACIÓN]</w:t>
      </w:r>
      <w:r>
        <w:rPr>
          <w:rFonts w:ascii="Arial" w:hAnsi="Arial"/>
          <w:color w:val="263A43"/>
          <w:sz w:val="20"/>
        </w:rPr>
        <w:t>.</w:t>
      </w:r>
    </w:p>
    <w:p>
      <w:pPr>
        <w:jc w:val="both"/>
      </w:pPr>
      <w:r>
        <w:rPr>
          <w:rFonts w:ascii="Arial" w:hAnsi="Arial"/>
          <w:color w:val="263A43"/>
          <w:sz w:val="20"/>
        </w:rPr>
        <w:t>No firmar como adjudicación ni ejecutar entregas o pagos con este borrador. No constituye una oferta vinculante del artículo 17 de la Ley Orgánica 1/2025.</w:t>
      </w:r>
    </w:p>
    <w:p>
      <w:pPr>
        <w:pStyle w:val="Heading2"/>
      </w:pPr>
      <w:r>
        <w:t>1. BASE DOCUMENTAL Y CUESTIONES PREVIAS</w:t>
      </w:r>
    </w:p>
    <w:p>
      <w:pPr>
        <w:jc w:val="both"/>
      </w:pPr>
      <w:r>
        <w:rPr>
          <w:rFonts w:ascii="Arial" w:hAnsi="Arial"/>
          <w:color w:val="263A43"/>
          <w:sz w:val="20"/>
        </w:rPr>
        <w:t xml:space="preserve">Fallecimiento: </w:t>
      </w:r>
      <w:r>
        <w:rPr>
          <w:rFonts w:ascii="Arial" w:hAnsi="Arial"/>
          <w:b/>
          <w:color w:val="397CDD"/>
          <w:sz w:val="20"/>
          <w:shd w:fill="E8F0FB"/>
        </w:rPr>
        <w:t>[FECHA]</w:t>
      </w:r>
      <w:r>
        <w:rPr>
          <w:rFonts w:ascii="Arial" w:hAnsi="Arial"/>
          <w:color w:val="263A43"/>
          <w:sz w:val="20"/>
        </w:rPr>
        <w:t xml:space="preserve">. Título sucesorio: </w:t>
      </w:r>
      <w:r>
        <w:rPr>
          <w:rFonts w:ascii="Arial" w:hAnsi="Arial"/>
          <w:b/>
          <w:color w:val="397CDD"/>
          <w:sz w:val="20"/>
          <w:shd w:fill="E8F0FB"/>
        </w:rPr>
        <w:t>[DATOS Y CLÁUSULAS]</w:t>
      </w:r>
      <w:r>
        <w:rPr>
          <w:rFonts w:ascii="Arial" w:hAnsi="Arial"/>
          <w:color w:val="263A43"/>
          <w:sz w:val="20"/>
        </w:rPr>
        <w:t xml:space="preserve">. Ley sucesoria comprobada o pendiente: </w:t>
      </w:r>
      <w:r>
        <w:rPr>
          <w:rFonts w:ascii="Arial" w:hAnsi="Arial"/>
          <w:b/>
          <w:color w:val="397CDD"/>
          <w:sz w:val="20"/>
          <w:shd w:fill="E8F0FB"/>
        </w:rPr>
        <w:t>[DATOS]</w:t>
      </w:r>
      <w:r>
        <w:rPr>
          <w:rFonts w:ascii="Arial" w:hAnsi="Arial"/>
          <w:color w:val="263A43"/>
          <w:sz w:val="20"/>
        </w:rPr>
        <w:t xml:space="preserve">. Régimen matrimonial y liquidación previa: </w:t>
      </w:r>
      <w:r>
        <w:rPr>
          <w:rFonts w:ascii="Arial" w:hAnsi="Arial"/>
          <w:b/>
          <w:color w:val="397CDD"/>
          <w:sz w:val="20"/>
          <w:shd w:fill="E8F0FB"/>
        </w:rPr>
        <w:t>[DATOS]</w:t>
      </w:r>
      <w:r>
        <w:rPr>
          <w:rFonts w:ascii="Arial" w:hAnsi="Arial"/>
          <w:color w:val="263A43"/>
          <w:sz w:val="20"/>
        </w:rPr>
        <w:t>.</w:t>
      </w:r>
    </w:p>
    <w:p>
      <w:pPr>
        <w:jc w:val="both"/>
      </w:pPr>
      <w:r>
        <w:rPr>
          <w:rFonts w:ascii="Arial" w:hAnsi="Arial"/>
          <w:color w:val="263A43"/>
          <w:sz w:val="20"/>
        </w:rPr>
        <w:t xml:space="preserve">Personas interesadas y derechos documentados: </w:t>
      </w:r>
      <w:r>
        <w:rPr>
          <w:rFonts w:ascii="Arial" w:hAnsi="Arial"/>
          <w:b/>
          <w:color w:val="397CDD"/>
          <w:sz w:val="20"/>
          <w:shd w:fill="E8F0FB"/>
        </w:rPr>
        <w:t>[NOMBRE, DERECHO Y FUENTE]</w:t>
      </w:r>
      <w:r>
        <w:rPr>
          <w:rFonts w:ascii="Arial" w:hAnsi="Arial"/>
          <w:color w:val="263A43"/>
          <w:sz w:val="20"/>
        </w:rPr>
        <w:t xml:space="preserve">. Facultades de albacea, contador-partidor u otras: </w:t>
      </w:r>
      <w:r>
        <w:rPr>
          <w:rFonts w:ascii="Arial" w:hAnsi="Arial"/>
          <w:b/>
          <w:color w:val="397CDD"/>
          <w:sz w:val="20"/>
          <w:shd w:fill="E8F0FB"/>
        </w:rPr>
        <w:t>[DATOS]</w:t>
      </w:r>
      <w:r>
        <w:rPr>
          <w:rFonts w:ascii="Arial" w:hAnsi="Arial"/>
          <w:color w:val="263A43"/>
          <w:sz w:val="20"/>
        </w:rPr>
        <w:t xml:space="preserve">. Situación de aceptación previamente documentada: </w:t>
      </w:r>
      <w:r>
        <w:rPr>
          <w:rFonts w:ascii="Arial" w:hAnsi="Arial"/>
          <w:b/>
          <w:color w:val="397CDD"/>
          <w:sz w:val="20"/>
          <w:shd w:fill="E8F0FB"/>
        </w:rPr>
        <w:t>[DATOS / PENDIENTE]</w:t>
      </w:r>
      <w:r>
        <w:rPr>
          <w:rFonts w:ascii="Arial" w:hAnsi="Arial"/>
          <w:color w:val="263A43"/>
          <w:sz w:val="20"/>
        </w:rPr>
        <w:t>.</w:t>
      </w:r>
    </w:p>
    <w:p>
      <w:pPr>
        <w:jc w:val="both"/>
      </w:pPr>
      <w:r>
        <w:rPr>
          <w:rFonts w:ascii="Arial" w:hAnsi="Arial"/>
          <w:color w:val="263A43"/>
          <w:sz w:val="20"/>
        </w:rPr>
        <w:t xml:space="preserve">Cuestiones que deben resolverse antes de cualquier acuerdo: </w:t>
      </w:r>
      <w:r>
        <w:rPr>
          <w:rFonts w:ascii="Arial" w:hAnsi="Arial"/>
          <w:b/>
          <w:color w:val="397CDD"/>
          <w:sz w:val="20"/>
          <w:shd w:fill="E8F0FB"/>
        </w:rPr>
        <w:t>[RELACIÓN]</w:t>
      </w:r>
      <w:r>
        <w:rPr>
          <w:rFonts w:ascii="Arial" w:hAnsi="Arial"/>
          <w:color w:val="263A43"/>
          <w:sz w:val="20"/>
        </w:rPr>
        <w:t>.</w:t>
      </w:r>
    </w:p>
    <w:p>
      <w:pPr>
        <w:pStyle w:val="Heading2"/>
      </w:pPr>
      <w:r>
        <w:t>2. INVENTARIO Y VALORACIÓN PARA NEGOCIAR</w:t>
      </w:r>
    </w:p>
    <w:p>
      <w:pPr>
        <w:jc w:val="both"/>
      </w:pPr>
      <w:r>
        <w:rPr>
          <w:rFonts w:ascii="Arial" w:hAnsi="Arial"/>
          <w:color w:val="263A43"/>
          <w:sz w:val="20"/>
        </w:rPr>
        <w:t xml:space="preserve">Bien </w:t>
      </w:r>
      <w:r>
        <w:rPr>
          <w:rFonts w:ascii="Arial" w:hAnsi="Arial"/>
          <w:b/>
          <w:color w:val="397CDD"/>
          <w:sz w:val="20"/>
          <w:shd w:fill="E8F0FB"/>
        </w:rPr>
        <w:t>[IDENTIFICADOR]</w:t>
      </w:r>
      <w:r>
        <w:rPr>
          <w:rFonts w:ascii="Arial" w:hAnsi="Arial"/>
          <w:color w:val="263A43"/>
          <w:sz w:val="20"/>
        </w:rPr>
        <w:t xml:space="preserve">: </w:t>
      </w:r>
      <w:r>
        <w:rPr>
          <w:rFonts w:ascii="Arial" w:hAnsi="Arial"/>
          <w:b/>
          <w:color w:val="397CDD"/>
          <w:sz w:val="20"/>
          <w:shd w:fill="E8F0FB"/>
        </w:rPr>
        <w:t>[DESCRIPCIÓN Y PARTICIPACIÓN DEL CAUSANTE]</w:t>
      </w:r>
      <w:r>
        <w:rPr>
          <w:rFonts w:ascii="Arial" w:hAnsi="Arial"/>
          <w:color w:val="263A43"/>
          <w:sz w:val="20"/>
        </w:rPr>
        <w:t xml:space="preserve">. Valor propuesto: </w:t>
      </w:r>
      <w:r>
        <w:rPr>
          <w:rFonts w:ascii="Arial" w:hAnsi="Arial"/>
          <w:b/>
          <w:color w:val="397CDD"/>
          <w:sz w:val="20"/>
          <w:shd w:fill="E8F0FB"/>
        </w:rPr>
        <w:t>[IMPORTE]</w:t>
      </w:r>
      <w:r>
        <w:rPr>
          <w:rFonts w:ascii="Arial" w:hAnsi="Arial"/>
          <w:color w:val="263A43"/>
          <w:sz w:val="20"/>
        </w:rPr>
        <w:t xml:space="preserve">. Fuente y fecha: </w:t>
      </w:r>
      <w:r>
        <w:rPr>
          <w:rFonts w:ascii="Arial" w:hAnsi="Arial"/>
          <w:b/>
          <w:color w:val="397CDD"/>
          <w:sz w:val="20"/>
          <w:shd w:fill="E8F0FB"/>
        </w:rPr>
        <w:t>[DATOS]</w:t>
      </w:r>
      <w:r>
        <w:rPr>
          <w:rFonts w:ascii="Arial" w:hAnsi="Arial"/>
          <w:color w:val="263A43"/>
          <w:sz w:val="20"/>
        </w:rPr>
        <w:t xml:space="preserve">. Discrepancia: </w:t>
      </w:r>
      <w:r>
        <w:rPr>
          <w:rFonts w:ascii="Arial" w:hAnsi="Arial"/>
          <w:b/>
          <w:color w:val="397CDD"/>
          <w:sz w:val="20"/>
          <w:shd w:fill="E8F0FB"/>
        </w:rPr>
        <w:t>[DETALLE]</w:t>
      </w:r>
      <w:r>
        <w:rPr>
          <w:rFonts w:ascii="Arial" w:hAnsi="Arial"/>
          <w:color w:val="263A43"/>
          <w:sz w:val="20"/>
        </w:rPr>
        <w:t>.</w:t>
      </w:r>
    </w:p>
    <w:p>
      <w:pPr>
        <w:jc w:val="both"/>
      </w:pPr>
      <w:r>
        <w:rPr>
          <w:rFonts w:ascii="Arial" w:hAnsi="Arial"/>
          <w:color w:val="263A43"/>
          <w:sz w:val="20"/>
        </w:rPr>
        <w:t xml:space="preserve">Repetir para cada bien o derecho: </w:t>
      </w:r>
      <w:r>
        <w:rPr>
          <w:rFonts w:ascii="Arial" w:hAnsi="Arial"/>
          <w:b/>
          <w:color w:val="397CDD"/>
          <w:sz w:val="20"/>
          <w:shd w:fill="E8F0FB"/>
        </w:rPr>
        <w:t>[BLOQUES ADICIONALES]</w:t>
      </w:r>
      <w:r>
        <w:rPr>
          <w:rFonts w:ascii="Arial" w:hAnsi="Arial"/>
          <w:color w:val="263A43"/>
          <w:sz w:val="20"/>
        </w:rPr>
        <w:t xml:space="preserve">. Total provisional de activos: </w:t>
      </w:r>
      <w:r>
        <w:rPr>
          <w:rFonts w:ascii="Arial" w:hAnsi="Arial"/>
          <w:b/>
          <w:color w:val="397CDD"/>
          <w:sz w:val="20"/>
          <w:shd w:fill="E8F0FB"/>
        </w:rPr>
        <w:t>[A]</w:t>
      </w:r>
      <w:r>
        <w:rPr>
          <w:rFonts w:ascii="Arial" w:hAnsi="Arial"/>
          <w:color w:val="263A43"/>
          <w:sz w:val="20"/>
        </w:rPr>
        <w:t>.</w:t>
      </w:r>
    </w:p>
    <w:p>
      <w:pPr>
        <w:jc w:val="both"/>
      </w:pPr>
      <w:r>
        <w:rPr>
          <w:rFonts w:ascii="Arial" w:hAnsi="Arial"/>
          <w:color w:val="263A43"/>
          <w:sz w:val="20"/>
        </w:rPr>
        <w:t xml:space="preserve">Deuda </w:t>
      </w:r>
      <w:r>
        <w:rPr>
          <w:rFonts w:ascii="Arial" w:hAnsi="Arial"/>
          <w:b/>
          <w:color w:val="397CDD"/>
          <w:sz w:val="20"/>
          <w:shd w:fill="E8F0FB"/>
        </w:rPr>
        <w:t>[IDENTIFICADOR]</w:t>
      </w:r>
      <w:r>
        <w:rPr>
          <w:rFonts w:ascii="Arial" w:hAnsi="Arial"/>
          <w:color w:val="263A43"/>
          <w:sz w:val="20"/>
        </w:rPr>
        <w:t xml:space="preserve">: </w:t>
      </w:r>
      <w:r>
        <w:rPr>
          <w:rFonts w:ascii="Arial" w:hAnsi="Arial"/>
          <w:b/>
          <w:color w:val="397CDD"/>
          <w:sz w:val="20"/>
          <w:shd w:fill="E8F0FB"/>
        </w:rPr>
        <w:t>[ACREEDOR, IMPORTE Y DOCUMENTO]</w:t>
      </w:r>
      <w:r>
        <w:rPr>
          <w:rFonts w:ascii="Arial" w:hAnsi="Arial"/>
          <w:color w:val="263A43"/>
          <w:sz w:val="20"/>
        </w:rPr>
        <w:t xml:space="preserve">. Total provisional de pasivo: </w:t>
      </w:r>
      <w:r>
        <w:rPr>
          <w:rFonts w:ascii="Arial" w:hAnsi="Arial"/>
          <w:b/>
          <w:color w:val="397CDD"/>
          <w:sz w:val="20"/>
          <w:shd w:fill="E8F0FB"/>
        </w:rPr>
        <w:t>[B]</w:t>
      </w:r>
      <w:r>
        <w:rPr>
          <w:rFonts w:ascii="Arial" w:hAnsi="Arial"/>
          <w:color w:val="263A43"/>
          <w:sz w:val="20"/>
        </w:rPr>
        <w:t xml:space="preserve">. Contingencias y reservas pendientes: </w:t>
      </w:r>
      <w:r>
        <w:rPr>
          <w:rFonts w:ascii="Arial" w:hAnsi="Arial"/>
          <w:b/>
          <w:color w:val="397CDD"/>
          <w:sz w:val="20"/>
          <w:shd w:fill="E8F0FB"/>
        </w:rPr>
        <w:t>[DATOS]</w:t>
      </w:r>
      <w:r>
        <w:rPr>
          <w:rFonts w:ascii="Arial" w:hAnsi="Arial"/>
          <w:color w:val="263A43"/>
          <w:sz w:val="20"/>
        </w:rPr>
        <w:t>.</w:t>
      </w:r>
    </w:p>
    <w:p>
      <w:pPr>
        <w:jc w:val="both"/>
      </w:pPr>
      <w:r>
        <w:rPr>
          <w:rFonts w:ascii="Arial" w:hAnsi="Arial"/>
          <w:color w:val="263A43"/>
          <w:sz w:val="20"/>
        </w:rPr>
        <w:t xml:space="preserve">Neto orientativo para la comparación de lotes: </w:t>
      </w:r>
      <w:r>
        <w:rPr>
          <w:rFonts w:ascii="Arial" w:hAnsi="Arial"/>
          <w:b/>
          <w:color w:val="397CDD"/>
          <w:sz w:val="20"/>
          <w:shd w:fill="E8F0FB"/>
        </w:rPr>
        <w:t>[A MENOS B, AJUSTADO SEGÚN CONCEPTOS REVISADOS]</w:t>
      </w:r>
      <w:r>
        <w:rPr>
          <w:rFonts w:ascii="Arial" w:hAnsi="Arial"/>
          <w:color w:val="263A43"/>
          <w:sz w:val="20"/>
        </w:rPr>
        <w:t>. Los valores fiscales se comprobarán separadamente.</w:t>
      </w:r>
    </w:p>
    <w:p>
      <w:pPr>
        <w:pStyle w:val="Heading2"/>
      </w:pPr>
      <w:r>
        <w:t>3. ALTERNATIVA DE DISTRIBUCIÓN</w:t>
      </w:r>
    </w:p>
    <w:p>
      <w:pPr>
        <w:jc w:val="both"/>
      </w:pPr>
      <w:r>
        <w:rPr>
          <w:rFonts w:ascii="Arial" w:hAnsi="Arial"/>
          <w:color w:val="263A43"/>
          <w:sz w:val="20"/>
        </w:rPr>
        <w:t xml:space="preserve">Persona </w:t>
      </w:r>
      <w:r>
        <w:rPr>
          <w:rFonts w:ascii="Arial" w:hAnsi="Arial"/>
          <w:b/>
          <w:color w:val="397CDD"/>
          <w:sz w:val="20"/>
          <w:shd w:fill="E8F0FB"/>
        </w:rPr>
        <w:t>[NOMBRE]</w:t>
      </w:r>
      <w:r>
        <w:rPr>
          <w:rFonts w:ascii="Arial" w:hAnsi="Arial"/>
          <w:color w:val="263A43"/>
          <w:sz w:val="20"/>
        </w:rPr>
        <w:t xml:space="preserve">: derecho teórico pendiente de validación </w:t>
      </w:r>
      <w:r>
        <w:rPr>
          <w:rFonts w:ascii="Arial" w:hAnsi="Arial"/>
          <w:b/>
          <w:color w:val="397CDD"/>
          <w:sz w:val="20"/>
          <w:shd w:fill="E8F0FB"/>
        </w:rPr>
        <w:t>[CUOTA Y VALOR]</w:t>
      </w:r>
      <w:r>
        <w:rPr>
          <w:rFonts w:ascii="Arial" w:hAnsi="Arial"/>
          <w:color w:val="263A43"/>
          <w:sz w:val="20"/>
        </w:rPr>
        <w:t xml:space="preserve">. Lote propuesto </w:t>
      </w:r>
      <w:r>
        <w:rPr>
          <w:rFonts w:ascii="Arial" w:hAnsi="Arial"/>
          <w:b/>
          <w:color w:val="397CDD"/>
          <w:sz w:val="20"/>
          <w:shd w:fill="E8F0FB"/>
        </w:rPr>
        <w:t>[BIENES E IMPORTES]</w:t>
      </w:r>
      <w:r>
        <w:rPr>
          <w:rFonts w:ascii="Arial" w:hAnsi="Arial"/>
          <w:color w:val="263A43"/>
          <w:sz w:val="20"/>
        </w:rPr>
        <w:t xml:space="preserve">. Pasivo interno propuesto </w:t>
      </w:r>
      <w:r>
        <w:rPr>
          <w:rFonts w:ascii="Arial" w:hAnsi="Arial"/>
          <w:b/>
          <w:color w:val="397CDD"/>
          <w:sz w:val="20"/>
          <w:shd w:fill="E8F0FB"/>
        </w:rPr>
        <w:t>[DETALLE]</w:t>
      </w:r>
      <w:r>
        <w:rPr>
          <w:rFonts w:ascii="Arial" w:hAnsi="Arial"/>
          <w:color w:val="263A43"/>
          <w:sz w:val="20"/>
        </w:rPr>
        <w:t xml:space="preserve">. Valor neto del lote </w:t>
      </w:r>
      <w:r>
        <w:rPr>
          <w:rFonts w:ascii="Arial" w:hAnsi="Arial"/>
          <w:b/>
          <w:color w:val="397CDD"/>
          <w:sz w:val="20"/>
          <w:shd w:fill="E8F0FB"/>
        </w:rPr>
        <w:t>[IMPORTE]</w:t>
      </w:r>
      <w:r>
        <w:rPr>
          <w:rFonts w:ascii="Arial" w:hAnsi="Arial"/>
          <w:color w:val="263A43"/>
          <w:sz w:val="20"/>
        </w:rPr>
        <w:t>.</w:t>
      </w:r>
    </w:p>
    <w:p>
      <w:pPr>
        <w:jc w:val="both"/>
      </w:pPr>
      <w:r>
        <w:rPr>
          <w:rFonts w:ascii="Arial" w:hAnsi="Arial"/>
          <w:color w:val="263A43"/>
          <w:sz w:val="20"/>
        </w:rPr>
        <w:t xml:space="preserve">Diferencia respecto del derecho teórico </w:t>
      </w:r>
      <w:r>
        <w:rPr>
          <w:rFonts w:ascii="Arial" w:hAnsi="Arial"/>
          <w:b/>
          <w:color w:val="397CDD"/>
          <w:sz w:val="20"/>
          <w:shd w:fill="E8F0FB"/>
        </w:rPr>
        <w:t>[IMPORTE Y SIGNO]</w:t>
      </w:r>
      <w:r>
        <w:rPr>
          <w:rFonts w:ascii="Arial" w:hAnsi="Arial"/>
          <w:color w:val="263A43"/>
          <w:sz w:val="20"/>
        </w:rPr>
        <w:t xml:space="preserve">. Posible compensación </w:t>
      </w:r>
      <w:r>
        <w:rPr>
          <w:rFonts w:ascii="Arial" w:hAnsi="Arial"/>
          <w:b/>
          <w:color w:val="397CDD"/>
          <w:sz w:val="20"/>
          <w:shd w:fill="E8F0FB"/>
        </w:rPr>
        <w:t>[QUIÉN PAGARÍA A QUIÉN, IMPORTE Y FINANCIACIÓN PENDIENTES]</w:t>
      </w:r>
      <w:r>
        <w:rPr>
          <w:rFonts w:ascii="Arial" w:hAnsi="Arial"/>
          <w:color w:val="263A43"/>
          <w:sz w:val="20"/>
        </w:rPr>
        <w:t>.</w:t>
      </w:r>
    </w:p>
    <w:p>
      <w:pPr>
        <w:jc w:val="both"/>
      </w:pPr>
      <w:r>
        <w:rPr>
          <w:rFonts w:ascii="Arial" w:hAnsi="Arial"/>
          <w:color w:val="263A43"/>
          <w:sz w:val="20"/>
        </w:rPr>
        <w:t xml:space="preserve">Repetir para cada interesado: </w:t>
      </w:r>
      <w:r>
        <w:rPr>
          <w:rFonts w:ascii="Arial" w:hAnsi="Arial"/>
          <w:b/>
          <w:color w:val="397CDD"/>
          <w:sz w:val="20"/>
          <w:shd w:fill="E8F0FB"/>
        </w:rPr>
        <w:t>[BLOQUES ADICIONALES]</w:t>
      </w:r>
      <w:r>
        <w:rPr>
          <w:rFonts w:ascii="Arial" w:hAnsi="Arial"/>
          <w:color w:val="263A43"/>
          <w:sz w:val="20"/>
        </w:rPr>
        <w:t>.</w:t>
      </w:r>
    </w:p>
    <w:p>
      <w:pPr>
        <w:jc w:val="both"/>
      </w:pPr>
      <w:r>
        <w:rPr>
          <w:rFonts w:ascii="Arial" w:hAnsi="Arial"/>
          <w:color w:val="263A43"/>
          <w:sz w:val="20"/>
        </w:rPr>
        <w:t xml:space="preserve">Bienes indivisibles: </w:t>
      </w:r>
      <w:r>
        <w:rPr>
          <w:rFonts w:ascii="Arial" w:hAnsi="Arial"/>
          <w:b/>
          <w:color w:val="397CDD"/>
          <w:sz w:val="20"/>
          <w:shd w:fill="E8F0FB"/>
        </w:rPr>
        <w:t>[BIEN]</w:t>
      </w:r>
      <w:r>
        <w:rPr>
          <w:rFonts w:ascii="Arial" w:hAnsi="Arial"/>
          <w:color w:val="263A43"/>
          <w:sz w:val="20"/>
        </w:rPr>
        <w:t xml:space="preserve">. Alternativas a estudiar: </w:t>
      </w:r>
      <w:r>
        <w:rPr>
          <w:rFonts w:ascii="Arial" w:hAnsi="Arial"/>
          <w:b/>
          <w:color w:val="397CDD"/>
          <w:sz w:val="20"/>
          <w:shd w:fill="E8F0FB"/>
        </w:rPr>
        <w:t>[ADJUDICACIÓN CON COMPENSACIÓN / VENTA CONSENSUADA / OTRA LEGALMENTE VIABLE]</w:t>
      </w:r>
      <w:r>
        <w:rPr>
          <w:rFonts w:ascii="Arial" w:hAnsi="Arial"/>
          <w:color w:val="263A43"/>
          <w:sz w:val="20"/>
        </w:rPr>
        <w:t>. Ninguna venta queda autorizada.</w:t>
      </w:r>
    </w:p>
    <w:p>
      <w:pPr>
        <w:jc w:val="both"/>
      </w:pPr>
      <w:r>
        <w:rPr>
          <w:rFonts w:ascii="Arial" w:hAnsi="Arial"/>
          <w:color w:val="263A43"/>
          <w:sz w:val="20"/>
        </w:rPr>
        <w:t>Los acuerdos internos sobre deudas no sustituyen el consentimiento del acreedor cuando sea necesario para liberar o sustituir deudores.</w:t>
      </w:r>
    </w:p>
    <w:p>
      <w:pPr>
        <w:pStyle w:val="Heading2"/>
      </w:pPr>
      <w:r>
        <w:t>4. OBSERVACIONES Y COMPROBACIONES</w:t>
      </w:r>
    </w:p>
    <w:p>
      <w:pPr>
        <w:jc w:val="both"/>
      </w:pPr>
      <w:r>
        <w:rPr>
          <w:rFonts w:ascii="Arial" w:hAnsi="Arial"/>
          <w:color w:val="263A43"/>
          <w:sz w:val="20"/>
        </w:rPr>
        <w:t xml:space="preserve">Legítimas, legados, usufructos y donaciones que revisar: </w:t>
      </w:r>
      <w:r>
        <w:rPr>
          <w:rFonts w:ascii="Arial" w:hAnsi="Arial"/>
          <w:b/>
          <w:color w:val="397CDD"/>
          <w:sz w:val="20"/>
          <w:shd w:fill="E8F0FB"/>
        </w:rPr>
        <w:t>[RELACIÓN]</w:t>
      </w:r>
      <w:r>
        <w:rPr>
          <w:rFonts w:ascii="Arial" w:hAnsi="Arial"/>
          <w:color w:val="263A43"/>
          <w:sz w:val="20"/>
        </w:rPr>
        <w:t xml:space="preserve">. Derechos de terceros: </w:t>
      </w:r>
      <w:r>
        <w:rPr>
          <w:rFonts w:ascii="Arial" w:hAnsi="Arial"/>
          <w:b/>
          <w:color w:val="397CDD"/>
          <w:sz w:val="20"/>
          <w:shd w:fill="E8F0FB"/>
        </w:rPr>
        <w:t>[RELACIÓN]</w:t>
      </w:r>
      <w:r>
        <w:rPr>
          <w:rFonts w:ascii="Arial" w:hAnsi="Arial"/>
          <w:color w:val="263A43"/>
          <w:sz w:val="20"/>
        </w:rPr>
        <w:t xml:space="preserve">. Gastos, impuestos y posibles excesos de adjudicación: </w:t>
      </w:r>
      <w:r>
        <w:rPr>
          <w:rFonts w:ascii="Arial" w:hAnsi="Arial"/>
          <w:b/>
          <w:color w:val="397CDD"/>
          <w:sz w:val="20"/>
          <w:shd w:fill="E8F0FB"/>
        </w:rPr>
        <w:t>[PENDIENTES]</w:t>
      </w:r>
      <w:r>
        <w:rPr>
          <w:rFonts w:ascii="Arial" w:hAnsi="Arial"/>
          <w:color w:val="263A43"/>
          <w:sz w:val="20"/>
        </w:rPr>
        <w:t>.</w:t>
      </w:r>
    </w:p>
    <w:p>
      <w:pPr>
        <w:jc w:val="both"/>
      </w:pPr>
      <w:r>
        <w:rPr>
          <w:rFonts w:ascii="Arial" w:hAnsi="Arial"/>
          <w:color w:val="263A43"/>
          <w:sz w:val="20"/>
        </w:rPr>
        <w:t xml:space="preserve">Observaciones de cada interesado: </w:t>
      </w:r>
      <w:r>
        <w:rPr>
          <w:rFonts w:ascii="Arial" w:hAnsi="Arial"/>
          <w:b/>
          <w:color w:val="397CDD"/>
          <w:sz w:val="20"/>
          <w:shd w:fill="E8F0FB"/>
        </w:rPr>
        <w:t>[NOMBRE, FECHA Y PROPUESTA]</w:t>
      </w:r>
      <w:r>
        <w:rPr>
          <w:rFonts w:ascii="Arial" w:hAnsi="Arial"/>
          <w:color w:val="263A43"/>
          <w:sz w:val="20"/>
        </w:rPr>
        <w:t>.</w:t>
      </w:r>
    </w:p>
    <w:p>
      <w:pPr>
        <w:jc w:val="both"/>
      </w:pPr>
      <w:r>
        <w:rPr>
          <w:rFonts w:ascii="Arial" w:hAnsi="Arial"/>
          <w:color w:val="263A43"/>
          <w:sz w:val="20"/>
        </w:rPr>
        <w:t xml:space="preserve">Documentos que faltan: </w:t>
      </w:r>
      <w:r>
        <w:rPr>
          <w:rFonts w:ascii="Arial" w:hAnsi="Arial"/>
          <w:b/>
          <w:color w:val="397CDD"/>
          <w:sz w:val="20"/>
          <w:shd w:fill="E8F0FB"/>
        </w:rPr>
        <w:t>[RELACIÓN]</w:t>
      </w:r>
      <w:r>
        <w:rPr>
          <w:rFonts w:ascii="Arial" w:hAnsi="Arial"/>
          <w:color w:val="263A43"/>
          <w:sz w:val="20"/>
        </w:rPr>
        <w:t xml:space="preserve">. Profesionales que revisarán el cierre: </w:t>
      </w:r>
      <w:r>
        <w:rPr>
          <w:rFonts w:ascii="Arial" w:hAnsi="Arial"/>
          <w:b/>
          <w:color w:val="397CDD"/>
          <w:sz w:val="20"/>
          <w:shd w:fill="E8F0FB"/>
        </w:rPr>
        <w:t>[DATOS]</w:t>
      </w:r>
      <w:r>
        <w:rPr>
          <w:rFonts w:ascii="Arial" w:hAnsi="Arial"/>
          <w:color w:val="263A43"/>
          <w:sz w:val="20"/>
        </w:rPr>
        <w:t>.</w:t>
      </w:r>
    </w:p>
    <w:p>
      <w:pPr>
        <w:pStyle w:val="Heading2"/>
      </w:pPr>
      <w:r>
        <w:t>5. SIGUIENTE PASO PROPUESTO</w:t>
      </w:r>
    </w:p>
    <w:p>
      <w:pPr>
        <w:jc w:val="both"/>
      </w:pPr>
      <w:r>
        <w:rPr>
          <w:rFonts w:ascii="Arial" w:hAnsi="Arial"/>
          <w:color w:val="263A43"/>
          <w:sz w:val="20"/>
        </w:rPr>
        <w:t xml:space="preserve">Se propone intercambiar observaciones por </w:t>
      </w:r>
      <w:r>
        <w:rPr>
          <w:rFonts w:ascii="Arial" w:hAnsi="Arial"/>
          <w:b/>
          <w:color w:val="397CDD"/>
          <w:sz w:val="20"/>
          <w:shd w:fill="E8F0FB"/>
        </w:rPr>
        <w:t>[CANAL SEGURO]</w:t>
      </w:r>
      <w:r>
        <w:rPr>
          <w:rFonts w:ascii="Arial" w:hAnsi="Arial"/>
          <w:color w:val="263A43"/>
          <w:sz w:val="20"/>
        </w:rPr>
        <w:t xml:space="preserve"> antes de </w:t>
      </w:r>
      <w:r>
        <w:rPr>
          <w:rFonts w:ascii="Arial" w:hAnsi="Arial"/>
          <w:b/>
          <w:color w:val="397CDD"/>
          <w:sz w:val="20"/>
          <w:shd w:fill="E8F0FB"/>
        </w:rPr>
        <w:t>[FECHA ORIENTATIVA]</w:t>
      </w:r>
      <w:r>
        <w:rPr>
          <w:rFonts w:ascii="Arial" w:hAnsi="Arial"/>
          <w:color w:val="263A43"/>
          <w:sz w:val="20"/>
        </w:rPr>
        <w:t xml:space="preserve"> y valorar una reunión el </w:t>
      </w:r>
      <w:r>
        <w:rPr>
          <w:rFonts w:ascii="Arial" w:hAnsi="Arial"/>
          <w:b/>
          <w:color w:val="397CDD"/>
          <w:sz w:val="20"/>
          <w:shd w:fill="E8F0FB"/>
        </w:rPr>
        <w:t>[FECHA]</w:t>
      </w:r>
      <w:r>
        <w:rPr>
          <w:rFonts w:ascii="Arial" w:hAnsi="Arial"/>
          <w:color w:val="263A43"/>
          <w:sz w:val="20"/>
        </w:rPr>
        <w:t>. Esta invitación no obliga a aceptar lotes ni a realizar pagos.</w:t>
      </w:r>
    </w:p>
    <w:p>
      <w:pPr>
        <w:jc w:val="both"/>
      </w:pPr>
      <w:r>
        <w:rPr>
          <w:rFonts w:ascii="Arial" w:hAnsi="Arial"/>
          <w:color w:val="263A43"/>
          <w:sz w:val="20"/>
        </w:rPr>
        <w:t>Cualquier partición vinculante se documentará por separado, con las formalidades y asesoramiento que correspondan. El envío o recepción de este borrador no contiene una declaración de aceptación, renuncia ni autorización de disposición.</w:t>
      </w:r>
    </w:p>
    <w:p>
      <w:pPr>
        <w:jc w:val="both"/>
      </w:pPr>
      <w:r>
        <w:rPr>
          <w:rFonts w:ascii="Arial" w:hAnsi="Arial"/>
          <w:color w:val="263A43"/>
          <w:sz w:val="20"/>
        </w:rPr>
        <w:t xml:space="preserve">Preparado por: </w:t>
      </w:r>
      <w:r>
        <w:rPr>
          <w:rFonts w:ascii="Arial" w:hAnsi="Arial"/>
          <w:b/>
          <w:color w:val="397CDD"/>
          <w:sz w:val="20"/>
          <w:shd w:fill="E8F0FB"/>
        </w:rPr>
        <w:t>[NOMBRE]</w:t>
      </w:r>
      <w:r>
        <w:rPr>
          <w:rFonts w:ascii="Arial" w:hAnsi="Arial"/>
          <w:color w:val="263A43"/>
          <w:sz w:val="20"/>
        </w:rPr>
        <w:t>. No incluye firmas de conformidad o adjudicación.</w:t>
      </w:r>
    </w:p>
    <w:p>
      <w:r>
        <w:br w:type="page"/>
      </w:r>
    </w:p>
    <w:p>
      <w:pPr>
        <w:pStyle w:val="Heading1"/>
        <w:pageBreakBefore/>
        <w:jc w:val="center"/>
      </w:pPr>
      <w:r>
        <w:rPr>
          <w:sz w:val="34"/>
        </w:rPr>
        <w:t>GUÍA DE REVISIÓN · NO ADJUNTAR AL ESCRITO</w:t>
      </w:r>
    </w:p>
    <w:p>
      <w:pPr>
        <w:jc w:val="both"/>
      </w:pPr>
      <w:r>
        <w:rPr>
          <w:rFonts w:ascii="Arial" w:hAnsi="Arial"/>
          <w:color w:val="263A43"/>
          <w:sz w:val="20"/>
        </w:rPr>
        <w:t>Borrador no vinculante para comparar lotes, valores y compensaciones antes de cerrar una partición hereditaria.</w:t>
      </w:r>
    </w:p>
    <w:p>
      <w:pPr>
        <w:pStyle w:val="Heading1"/>
      </w:pPr>
      <w:r>
        <w:t>Advertencia principal</w:t>
      </w:r>
    </w:p>
    <w:p>
      <w:pPr>
        <w:jc w:val="both"/>
      </w:pPr>
      <w:r>
        <w:rPr>
          <w:rFonts w:ascii="Arial" w:hAnsi="Arial"/>
          <w:color w:val="263A43"/>
          <w:sz w:val="20"/>
        </w:rPr>
        <w:t>No firme ni ejecute este borrador como acuerdo de adjudicación. Una partición o disposición realmente realizada puede implicar aceptación y consecuencias fiscales aunque el documento se llame «propuesta». Compruebe la ley sucesoria aplicable: la vecindad civil no equivale sin más al domicilio. El Código Civil común no regula de manera uniforme todas las sucesiones en España. Las especialidades civiles territoriales y las sucesiones internacionales requieren adaptación; no deduzca la ley aplicable solo de dónde está el inmueble.</w:t>
      </w:r>
    </w:p>
    <w:p>
      <w:pPr>
        <w:pStyle w:val="Heading1"/>
      </w:pPr>
      <w:r>
        <w:t>Finalidad</w:t>
      </w:r>
    </w:p>
    <w:p>
      <w:pPr>
        <w:jc w:val="both"/>
      </w:pPr>
      <w:r>
        <w:rPr>
          <w:rFonts w:ascii="Arial" w:hAnsi="Arial"/>
          <w:color w:val="263A43"/>
          <w:sz w:val="20"/>
        </w:rPr>
        <w:t>Ordenar una posible distribución y las discrepancias para negociar con información suficiente y revisión de derechos y fiscalidad.</w:t>
      </w:r>
    </w:p>
    <w:p>
      <w:pPr>
        <w:pStyle w:val="Heading1"/>
      </w:pPr>
      <w:r>
        <w:t>Para qué no sirve</w:t>
      </w:r>
    </w:p>
    <w:p>
      <w:pPr>
        <w:jc w:val="both"/>
      </w:pPr>
      <w:r>
        <w:rPr>
          <w:rFonts w:ascii="Arial" w:hAnsi="Arial"/>
          <w:color w:val="263A43"/>
          <w:sz w:val="20"/>
        </w:rPr>
        <w:t>No adjudica bienes, no acepta la herencia, no autoriza transferencias y no es oferta vinculante confidencial del artículo 17 de la Ley Orgánica 1/2025.</w:t>
      </w:r>
    </w:p>
    <w:p>
      <w:pPr>
        <w:pStyle w:val="Heading1"/>
      </w:pPr>
      <w:r>
        <w:t>Instrucciones de uso</w:t>
      </w:r>
    </w:p>
    <w:p>
      <w:r>
        <w:rPr>
          <w:rFonts w:ascii="Arial" w:hAnsi="Arial"/>
          <w:color w:val="263A43"/>
          <w:sz w:val="20"/>
        </w:rPr>
        <w:t>1. Identifique a todos los interesados: no solo herederos, también legitimarios, cónyuge, usufructuarios y quienes tengan facultades particionales. Compruebe el título y la ley antes de proponer cuotas.</w:t>
      </w:r>
    </w:p>
    <w:p>
      <w:r>
        <w:rPr>
          <w:rFonts w:ascii="Arial" w:hAnsi="Arial"/>
          <w:color w:val="263A43"/>
          <w:sz w:val="20"/>
        </w:rPr>
        <w:t>2. Separe inventario, valores para negociar, deudas y lotes. No transforme un valor de negociación en una base fiscal ni impute al causante bienes de otros.</w:t>
      </w:r>
    </w:p>
    <w:p>
      <w:r>
        <w:rPr>
          <w:rFonts w:ascii="Arial" w:hAnsi="Arial"/>
          <w:color w:val="263A43"/>
          <w:sz w:val="20"/>
        </w:rPr>
        <w:t>3. Calcule diferencias entre valor neto de cada lote y derecho teórico, marcando toda compensación como pendiente. Las asignaciones internas de deudas no liberan a nadie frente al acreedor por sí solas.</w:t>
      </w:r>
    </w:p>
    <w:p>
      <w:r>
        <w:rPr>
          <w:rFonts w:ascii="Arial" w:hAnsi="Arial"/>
          <w:color w:val="263A43"/>
          <w:sz w:val="20"/>
        </w:rPr>
        <w:t>4. Remita solo para discusión y pida observaciones, sin fórmula «acepto» ni instrucciones de pago. Revise con abogado el canal, la confidencialidad y si la negociación debe servir como MASC. Este requerimiento no garantiza por sí solo el cumplimiento del requisito de negociación previa de la Ley Orgánica 1/2025. Antes de demandar, un abogado debe comprobar si procede MASC, identidad del objeto, acreditación, confidencialidad y efectos sobre los plazos; no hay interrupción o suspensión universal por enviar cualquier carta.</w:t>
      </w:r>
    </w:p>
    <w:p>
      <w:pPr>
        <w:pStyle w:val="Heading1"/>
      </w:pPr>
      <w:r>
        <w:t>Documentos que debe reunir</w:t>
      </w:r>
    </w:p>
    <w:p>
      <w:r>
        <w:rPr>
          <w:rFonts w:ascii="Arial" w:hAnsi="Arial"/>
          <w:color w:val="263A43"/>
          <w:sz w:val="20"/>
        </w:rPr>
        <w:t>1. Título sucesorio y documentación de todas las personas interesadas.</w:t>
      </w:r>
    </w:p>
    <w:p>
      <w:r>
        <w:rPr>
          <w:rFonts w:ascii="Arial" w:hAnsi="Arial"/>
          <w:color w:val="263A43"/>
          <w:sz w:val="20"/>
        </w:rPr>
        <w:t>2. Inventario, saldos, deudas y valoración justificable.</w:t>
      </w:r>
    </w:p>
    <w:p>
      <w:r>
        <w:rPr>
          <w:rFonts w:ascii="Arial" w:hAnsi="Arial"/>
          <w:color w:val="263A43"/>
          <w:sz w:val="20"/>
        </w:rPr>
        <w:t>3. Títulos de inmuebles y cargas, régimen matrimonial y donaciones relevantes.</w:t>
      </w:r>
    </w:p>
    <w:p>
      <w:r>
        <w:rPr>
          <w:rFonts w:ascii="Arial" w:hAnsi="Arial"/>
          <w:color w:val="263A43"/>
          <w:sz w:val="20"/>
        </w:rPr>
        <w:t>4. Necesidades de uso, preferencias de lotes y liquidez para compensaciones.</w:t>
      </w:r>
    </w:p>
    <w:p>
      <w:pPr>
        <w:pStyle w:val="Heading1"/>
      </w:pPr>
      <w:r>
        <w:t>Errores que debe evitar</w:t>
      </w:r>
    </w:p>
    <w:p>
      <w:r>
        <w:rPr>
          <w:rFonts w:ascii="Arial" w:hAnsi="Arial"/>
          <w:color w:val="263A43"/>
          <w:sz w:val="20"/>
        </w:rPr>
        <w:t>1. Repartir antes de conocer deudas o de liquidar correctamente el régimen matrimonial.</w:t>
      </w:r>
    </w:p>
    <w:p>
      <w:r>
        <w:rPr>
          <w:rFonts w:ascii="Arial" w:hAnsi="Arial"/>
          <w:color w:val="263A43"/>
          <w:sz w:val="20"/>
        </w:rPr>
        <w:t>2. Equiparar tres coherederos con tres cuotas iguales sin mirar el título.</w:t>
      </w:r>
    </w:p>
    <w:p>
      <w:r>
        <w:rPr>
          <w:rFonts w:ascii="Arial" w:hAnsi="Arial"/>
          <w:color w:val="263A43"/>
          <w:sz w:val="20"/>
        </w:rPr>
        <w:t>3. Entregar posesión, pagar compensaciones o retirar dinero mientras se llama al documento «borrador».</w:t>
      </w:r>
    </w:p>
    <w:p>
      <w:r>
        <w:rPr>
          <w:rFonts w:ascii="Arial" w:hAnsi="Arial"/>
          <w:color w:val="263A43"/>
          <w:sz w:val="20"/>
        </w:rPr>
        <w:t>4. Omitir legitimarios o perjudicar a acreedores con acuerdos internos.</w:t>
      </w:r>
    </w:p>
    <w:p>
      <w:pPr>
        <w:pStyle w:val="Heading1"/>
      </w:pPr>
      <w:r>
        <w:t>Cuándo acudir a un profesional</w:t>
      </w:r>
    </w:p>
    <w:p>
      <w:pPr>
        <w:jc w:val="both"/>
      </w:pPr>
      <w:r>
        <w:rPr>
          <w:rFonts w:ascii="Arial" w:hAnsi="Arial"/>
          <w:color w:val="263A43"/>
          <w:sz w:val="20"/>
        </w:rPr>
        <w:t>Abogado antes de convertir la propuesta en acuerdo vinculante, y necesariamente si hay conflicto, deudas inciertas, donaciones relevantes, menores, apoyos, facultades de contador-partidor o ley territorial/internacional. Notario para la formalización pública que proceda y acceso registral ordinario. Procurador si se judicializa en un procedimiento que lo exija.</w:t>
      </w:r>
    </w:p>
    <w:p>
      <w:pPr>
        <w:pStyle w:val="Heading1"/>
      </w:pPr>
      <w:r>
        <w:t>Plazos y presentación</w:t>
      </w:r>
    </w:p>
    <w:p>
      <w:pPr>
        <w:jc w:val="both"/>
      </w:pPr>
      <w:r>
        <w:rPr>
          <w:rFonts w:ascii="Arial" w:hAnsi="Arial"/>
          <w:color w:val="263A43"/>
          <w:sz w:val="20"/>
        </w:rPr>
        <w:t>No se fija plazo legal para aceptar esta propuesta, que no es una oferta vinculante. Las negociaciones no paralizan por sí mismas obligaciones fiscales ni todos los plazos civiles. En el régimen general del Reglamento del ISD, el plazo sucesorio es de seis meses desde el fallecimiento y la prórroga se solicita dentro de los cinco primeros meses. Compruebe Administración competente, normativa territorial y requisitos. La negociación privada no amplía por sí sola estos plazos.</w:t>
      </w:r>
    </w:p>
    <w:p>
      <w:pPr>
        <w:pStyle w:val="Heading1"/>
      </w:pPr>
      <w:r>
        <w:t>Fuentes oficiales verificadas</w:t>
      </w:r>
    </w:p>
    <w:p>
      <w:pPr>
        <w:jc w:val="both"/>
      </w:pPr>
      <w:r>
        <w:rPr>
          <w:rFonts w:ascii="Arial" w:hAnsi="Arial"/>
          <w:color w:val="263A43"/>
          <w:sz w:val="20"/>
        </w:rPr>
        <w:t>Revisión documental y normativa a 13/09/2026. No equivale a revisión de un caso concreto ni a formulario oficial aprobado por una Administración.</w:t>
      </w:r>
    </w:p>
    <w:p>
      <w:hyperlink r:id="rId11">
        <w:r>
          <w:rPr>
            <w:color w:val="2E7CF6"/>
            <w:u w:val="single"/>
          </w:rPr>
          <w:t>1. Código Civil — BOE. Arts. 9.8, 14 y 16: ley sucesoria y vecindad civil; arts. 999, 1003, 1008 y 1011-1018: aceptación, responsabilidad, repudiación e inventario. Verificación: 2026-09-13.</w:t>
        </w:r>
      </w:hyperlink>
    </w:p>
    <w:p>
      <w:hyperlink r:id="rId11">
        <w:r>
          <w:rPr>
            <w:color w:val="2E7CF6"/>
            <w:u w:val="single"/>
          </w:rPr>
          <w:t>2. Código Civil — BOE. Arts. 1056-1062: partición y bienes indivisibles; art. 1205: sustitución de deudor y consentimiento del acreedor. Verificación: 2026-09-13.</w:t>
        </w:r>
      </w:hyperlink>
    </w:p>
    <w:p>
      <w:hyperlink r:id="rId12">
        <w:r>
          <w:rPr>
            <w:color w:val="2E7CF6"/>
            <w:u w:val="single"/>
          </w:rPr>
          <w:t>3. Ley Hipotecaria — BOE. Arts. 3 y 14: título público e inscripción de adjudicaciones, con excepciones legales. Verificación: 2026-09-13.</w:t>
        </w:r>
      </w:hyperlink>
    </w:p>
    <w:p>
      <w:hyperlink r:id="rId13">
        <w:r>
          <w:rPr>
            <w:color w:val="2E7CF6"/>
            <w:u w:val="single"/>
          </w:rPr>
          <w:t>4. Ley Orgánica 1/2025, eficiencia del Servicio Público de Justicia — BOE. Arts. 5, 7, 9, 10 y 17: negociación previa y distinción de oferta vinculante. Verificación: 2026-09-13.</w:t>
        </w:r>
      </w:hyperlink>
    </w:p>
    <w:p>
      <w:hyperlink r:id="rId14">
        <w:r>
          <w:rPr>
            <w:color w:val="2E7CF6"/>
            <w:u w:val="single"/>
          </w:rPr>
          <w:t>5. Reglamento (UE) 650/2012, sucesiones internacionales — EUR-Lex, Unión Europea. Arts. 20-23 y 36: ley sucesoria internacional. Verificación: 2026-09-13.</w:t>
        </w:r>
      </w:hyperlink>
    </w:p>
    <w:p>
      <w:hyperlink r:id="rId15">
        <w:r>
          <w:rPr>
            <w:color w:val="2E7CF6"/>
            <w:u w:val="single"/>
          </w:rPr>
          <w:t>6. Real Decreto 1629/1991, Reglamento del Impuesto sobre Sucesiones y Donaciones — BOE. Arts. 67-68: plazos generales. Verificación: 2026-09-13.</w:t>
        </w:r>
      </w:hyperlink>
    </w:p>
    <w:p>
      <w:r>
        <w:rPr>
          <w:rFonts w:ascii="Arial" w:hAnsi="Arial"/>
          <w:i/>
          <w:color w:val="68777D"/>
          <w:sz w:val="16"/>
        </w:rPr>
        <w:t>Revisión documental: 13 de septiembre de 2026. Comprueba vigencia, competencia, procedimiento y plazo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889-4763" TargetMode="External"/><Relationship Id="rId12" Type="http://schemas.openxmlformats.org/officeDocument/2006/relationships/hyperlink" Target="https://www.boe.es/buscar/act.php?id=BOE-A-1946-2453" TargetMode="External"/><Relationship Id="rId13" Type="http://schemas.openxmlformats.org/officeDocument/2006/relationships/hyperlink" Target="https://www.boe.es/eli/es/lo/2025/01/02/1/con" TargetMode="External"/><Relationship Id="rId14" Type="http://schemas.openxmlformats.org/officeDocument/2006/relationships/hyperlink" Target="https://eur-lex.europa.eu/legal-content/ES/TXT/?uri=CELEX:32012R0650" TargetMode="External"/><Relationship Id="rId15" Type="http://schemas.openxmlformats.org/officeDocument/2006/relationships/hyperlink" Target="https://www.boe.es/buscar/act.php?id=BOE-A-1991-276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