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397CDD"/>
          <w:sz w:val="16"/>
        </w:rPr>
        <w:t>SOCIEDADES</w:t>
      </w:r>
    </w:p>
    <w:p>
      <w:pPr>
        <w:pStyle w:val="Title"/>
        <w:jc w:val="center"/>
      </w:pPr>
      <w:r>
        <w:rPr>
          <w:rFonts w:ascii="Georgia" w:hAnsi="Georgia"/>
          <w:b/>
          <w:color w:val="102E3C"/>
          <w:sz w:val="42"/>
        </w:rPr>
        <w:t>Préstamo entre socio y sociedad</w:t>
      </w:r>
    </w:p>
    <w:p>
      <w:pPr>
        <w:jc w:val="center"/>
      </w:pPr>
      <w:r>
        <w:rPr>
          <w:rFonts w:ascii="Arial" w:hAnsi="Arial"/>
          <w:color w:val="68777D"/>
          <w:sz w:val="20"/>
        </w:rPr>
        <w:t>Documentar un préstamo dinerario ordinario del socio a la sociedad con desembolso comprobable y devolución determinada.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547"/>
      </w:tblGrid>
      <w:tr>
        <w:tc>
          <w:tcPr>
            <w:tcW w:type="dxa" w:w="9547"/>
            <w:shd w:fill="F4EFE7"/>
          </w:tcPr>
          <w:p>
            <w:r>
              <w:rPr>
                <w:rFonts w:ascii="Arial" w:hAnsi="Arial"/>
                <w:b/>
                <w:color w:val="102E3C"/>
                <w:sz w:val="20"/>
              </w:rPr>
              <w:t>MODELO EDITABLE · GUÍA DE USO</w:t>
            </w:r>
          </w:p>
          <w:p>
            <w:r>
              <w:rPr>
                <w:rFonts w:ascii="Arial" w:hAnsi="Arial"/>
                <w:color w:val="263A43"/>
                <w:sz w:val="20"/>
              </w:rPr>
              <w:t>Sociedad que presta al socio; financiación participativa; insolvencia; garantías hipotecarias; conflicto o socio único sin formalidades revisadas.</w:t>
            </w:r>
          </w:p>
          <w:p>
            <w:r>
              <w:rPr>
                <w:rFonts w:ascii="Arial" w:hAnsi="Arial"/>
                <w:color w:val="263A43"/>
                <w:sz w:val="20"/>
              </w:rPr>
              <w:t>Completa solo datos comprobados, elimina alternativas incompatibles y conserva una copia y el justificante de presentación.</w:t>
            </w:r>
          </w:p>
        </w:tc>
      </w:tr>
    </w:tbl>
    <w:p>
      <w:pPr>
        <w:pStyle w:val="Heading1"/>
        <w:jc w:val="center"/>
      </w:pPr>
      <w:r>
        <w:t>MODELO EDITABLE</w:t>
      </w:r>
    </w:p>
    <w:p>
      <w:pPr>
        <w:pStyle w:val="Heading2"/>
      </w:pPr>
      <w:r>
        <w:t>CONTRATO DE PRÉSTAMO DINERARIO DEL SOCIO A LA SOCIEDAD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En </w:t>
      </w:r>
      <w:r>
        <w:rPr>
          <w:rFonts w:ascii="Arial" w:hAnsi="Arial"/>
          <w:b/>
          <w:color w:val="397CDD"/>
          <w:sz w:val="20"/>
          <w:shd w:fill="E8F0FB"/>
        </w:rPr>
        <w:t>[LOCALIDAD]</w:t>
      </w:r>
      <w:r>
        <w:rPr>
          <w:rFonts w:ascii="Arial" w:hAnsi="Arial"/>
          <w:color w:val="263A43"/>
          <w:sz w:val="20"/>
        </w:rPr>
        <w:t xml:space="preserve">, a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>.</w:t>
      </w:r>
    </w:p>
    <w:p>
      <w:pPr>
        <w:pStyle w:val="Heading2"/>
      </w:pPr>
      <w:r>
        <w:t>REUNIDOS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De una parte, </w:t>
      </w:r>
      <w:r>
        <w:rPr>
          <w:rFonts w:ascii="Arial" w:hAnsi="Arial"/>
          <w:b/>
          <w:color w:val="397CDD"/>
          <w:sz w:val="20"/>
          <w:shd w:fill="E8F0FB"/>
        </w:rPr>
        <w:t>[SOCIO]</w:t>
      </w:r>
      <w:r>
        <w:rPr>
          <w:rFonts w:ascii="Arial" w:hAnsi="Arial"/>
          <w:color w:val="263A43"/>
          <w:sz w:val="20"/>
        </w:rPr>
        <w:t xml:space="preserve">, NIF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domicilio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, en nombre propio, como prestamista.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De otra, </w:t>
      </w:r>
      <w:r>
        <w:rPr>
          <w:rFonts w:ascii="Arial" w:hAnsi="Arial"/>
          <w:b/>
          <w:color w:val="397CDD"/>
          <w:sz w:val="20"/>
          <w:shd w:fill="E8F0FB"/>
        </w:rPr>
        <w:t>[SOCIEDAD]</w:t>
      </w:r>
      <w:r>
        <w:rPr>
          <w:rFonts w:ascii="Arial" w:hAnsi="Arial"/>
          <w:color w:val="263A43"/>
          <w:sz w:val="20"/>
        </w:rPr>
        <w:t xml:space="preserve">, S.L., NIF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domicilio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datos registrales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representada por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en calidad de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con facultades según </w:t>
      </w:r>
      <w:r>
        <w:rPr>
          <w:rFonts w:ascii="Arial" w:hAnsi="Arial"/>
          <w:b/>
          <w:color w:val="397CDD"/>
          <w:sz w:val="20"/>
          <w:shd w:fill="E8F0FB"/>
        </w:rPr>
        <w:t>[TÍTULO]</w:t>
      </w:r>
      <w:r>
        <w:rPr>
          <w:rFonts w:ascii="Arial" w:hAnsi="Arial"/>
          <w:color w:val="263A43"/>
          <w:sz w:val="20"/>
        </w:rPr>
        <w:t>, como prestataria.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La participación del prestamista en la sociedad es </w:t>
      </w:r>
      <w:r>
        <w:rPr>
          <w:rFonts w:ascii="Arial" w:hAnsi="Arial"/>
          <w:b/>
          <w:color w:val="397CDD"/>
          <w:sz w:val="20"/>
          <w:shd w:fill="E8F0FB"/>
        </w:rPr>
        <w:t>[PORCENTAJE]</w:t>
      </w:r>
      <w:r>
        <w:rPr>
          <w:rFonts w:ascii="Arial" w:hAnsi="Arial"/>
          <w:color w:val="263A43"/>
          <w:sz w:val="20"/>
        </w:rPr>
        <w:t xml:space="preserve">. Las autorizaciones societarias y medidas frente al conflicto de interés que resultan necesarias constan en </w:t>
      </w:r>
      <w:r>
        <w:rPr>
          <w:rFonts w:ascii="Arial" w:hAnsi="Arial"/>
          <w:b/>
          <w:color w:val="397CDD"/>
          <w:sz w:val="20"/>
          <w:shd w:fill="E8F0FB"/>
        </w:rPr>
        <w:t>[ACUERDO Y FECHA, SI PROCEDE]</w:t>
      </w:r>
      <w:r>
        <w:rPr>
          <w:rFonts w:ascii="Arial" w:hAnsi="Arial"/>
          <w:color w:val="263A43"/>
          <w:sz w:val="20"/>
        </w:rPr>
        <w:t>. Las partes reconocen capacidad para este préstamo y</w:t>
      </w:r>
    </w:p>
    <w:p>
      <w:pPr>
        <w:pStyle w:val="Heading2"/>
      </w:pPr>
      <w:r>
        <w:t>ACUERDAN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Primera. Objeto. El prestamista concede a la sociedad un préstamo ordinario de </w:t>
      </w:r>
      <w:r>
        <w:rPr>
          <w:rFonts w:ascii="Arial" w:hAnsi="Arial"/>
          <w:b/>
          <w:color w:val="397CDD"/>
          <w:sz w:val="20"/>
          <w:shd w:fill="E8F0FB"/>
        </w:rPr>
        <w:t>[IMPORTE EN NÚMERO Y LETRA]</w:t>
      </w:r>
      <w:r>
        <w:rPr>
          <w:rFonts w:ascii="Arial" w:hAnsi="Arial"/>
          <w:color w:val="263A43"/>
          <w:sz w:val="20"/>
        </w:rPr>
        <w:t xml:space="preserve"> euros, destinado a </w:t>
      </w:r>
      <w:r>
        <w:rPr>
          <w:rFonts w:ascii="Arial" w:hAnsi="Arial"/>
          <w:b/>
          <w:color w:val="397CDD"/>
          <w:sz w:val="20"/>
          <w:shd w:fill="E8F0FB"/>
        </w:rPr>
        <w:t>[FINALIDAD]</w:t>
      </w:r>
      <w:r>
        <w:rPr>
          <w:rFonts w:ascii="Arial" w:hAnsi="Arial"/>
          <w:color w:val="263A43"/>
          <w:sz w:val="20"/>
        </w:rPr>
        <w:t>. No es aportación a capital, donación, préstamo participativo ni promesa de rentabilidad ligada a beneficios.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Segunda. Entrega. El capital se entregará por transferencia desde </w:t>
      </w:r>
      <w:r>
        <w:rPr>
          <w:rFonts w:ascii="Arial" w:hAnsi="Arial"/>
          <w:b/>
          <w:color w:val="397CDD"/>
          <w:sz w:val="20"/>
          <w:shd w:fill="E8F0FB"/>
        </w:rPr>
        <w:t>[IBAN DEL SOCIO]</w:t>
      </w:r>
      <w:r>
        <w:rPr>
          <w:rFonts w:ascii="Arial" w:hAnsi="Arial"/>
          <w:color w:val="263A43"/>
          <w:sz w:val="20"/>
        </w:rPr>
        <w:t xml:space="preserve"> a </w:t>
      </w:r>
      <w:r>
        <w:rPr>
          <w:rFonts w:ascii="Arial" w:hAnsi="Arial"/>
          <w:b/>
          <w:color w:val="397CDD"/>
          <w:sz w:val="20"/>
          <w:shd w:fill="E8F0FB"/>
        </w:rPr>
        <w:t>[IBAN SOCIAL]</w:t>
      </w:r>
      <w:r>
        <w:rPr>
          <w:rFonts w:ascii="Arial" w:hAnsi="Arial"/>
          <w:color w:val="263A43"/>
          <w:sz w:val="20"/>
        </w:rPr>
        <w:t xml:space="preserve"> no más tarde del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 xml:space="preserve">, con concepto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La sociedad únicamente reconocerá recibido el importe efectivamente abonado, acreditado mediante justificante bancario que se incorporará como anexo. Si se documenta una entrega anterior real, se identifican su fecha y justificante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, sin antedatar la firma.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Tercera. Duración y devolución. El préstamo vence el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 xml:space="preserve">. El principal se devolverá en </w:t>
      </w:r>
      <w:r>
        <w:rPr>
          <w:rFonts w:ascii="Arial" w:hAnsi="Arial"/>
          <w:b/>
          <w:color w:val="397CDD"/>
          <w:sz w:val="20"/>
          <w:shd w:fill="E8F0FB"/>
        </w:rPr>
        <w:t>[NÚMERO]</w:t>
      </w:r>
      <w:r>
        <w:rPr>
          <w:rFonts w:ascii="Arial" w:hAnsi="Arial"/>
          <w:color w:val="263A43"/>
          <w:sz w:val="20"/>
        </w:rPr>
        <w:t xml:space="preserve"> cuotas, conforme al anexo: vencimiento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principal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saldo posterior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La suma de amortizaciones será igual al capital efectivamente dispuesto. Los pagos se realizarán en </w:t>
      </w:r>
      <w:r>
        <w:rPr>
          <w:rFonts w:ascii="Arial" w:hAnsi="Arial"/>
          <w:b/>
          <w:color w:val="397CDD"/>
          <w:sz w:val="20"/>
          <w:shd w:fill="E8F0FB"/>
        </w:rPr>
        <w:t>[CUENTA DEL PRESTAMISTA]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Cuarta. Interés ordinario. El capital pendiente devengará un interés fijo nominal anual de </w:t>
      </w:r>
      <w:r>
        <w:rPr>
          <w:rFonts w:ascii="Arial" w:hAnsi="Arial"/>
          <w:b/>
          <w:color w:val="397CDD"/>
          <w:sz w:val="20"/>
          <w:shd w:fill="E8F0FB"/>
        </w:rPr>
        <w:t>[PORCENTAJE]</w:t>
      </w:r>
      <w:r>
        <w:rPr>
          <w:rFonts w:ascii="Arial" w:hAnsi="Arial"/>
          <w:color w:val="263A43"/>
          <w:sz w:val="20"/>
        </w:rPr>
        <w:t xml:space="preserve"> %, calculado por días naturales efectivamente transcurridos sobre base de 365 días, desde su entrega hasta amortización. Se liquidará </w:t>
      </w:r>
      <w:r>
        <w:rPr>
          <w:rFonts w:ascii="Arial" w:hAnsi="Arial"/>
          <w:b/>
          <w:color w:val="397CDD"/>
          <w:sz w:val="20"/>
          <w:shd w:fill="E8F0FB"/>
        </w:rPr>
        <w:t>[PERIODICIDAD Y FECHAS]</w:t>
      </w:r>
      <w:r>
        <w:rPr>
          <w:rFonts w:ascii="Arial" w:hAnsi="Arial"/>
          <w:color w:val="263A43"/>
          <w:sz w:val="20"/>
        </w:rPr>
        <w:t xml:space="preserve"> y abonará separadamente del principal. La justificación de las condiciones pactadas, incluida su valoración fiscal cuando exista vinculación, se conserva en </w:t>
      </w:r>
      <w:r>
        <w:rPr>
          <w:rFonts w:ascii="Arial" w:hAnsi="Arial"/>
          <w:b/>
          <w:color w:val="397CDD"/>
          <w:sz w:val="20"/>
          <w:shd w:fill="E8F0FB"/>
        </w:rPr>
        <w:t>[DOCUMENTO]</w:t>
      </w:r>
      <w:r>
        <w:rPr>
          <w:rFonts w:ascii="Arial" w:hAnsi="Arial"/>
          <w:color w:val="263A43"/>
          <w:sz w:val="20"/>
        </w:rPr>
        <w:t>. No dejar este porcentaje sin completar ni presumir neutralidad fiscal de la gratuidad.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Quinta. Amortización anticipada. La sociedad podrá amortizar total o parcialmente sin comisión, avisando con </w:t>
      </w:r>
      <w:r>
        <w:rPr>
          <w:rFonts w:ascii="Arial" w:hAnsi="Arial"/>
          <w:b/>
          <w:color w:val="397CDD"/>
          <w:sz w:val="20"/>
          <w:shd w:fill="E8F0FB"/>
        </w:rPr>
        <w:t>[NÚMERO]</w:t>
      </w:r>
      <w:r>
        <w:rPr>
          <w:rFonts w:ascii="Arial" w:hAnsi="Arial"/>
          <w:color w:val="263A43"/>
          <w:sz w:val="20"/>
        </w:rPr>
        <w:t xml:space="preserve"> días naturales. Abonará el principal amortizado y los intereses ordinarios devengados hasta el pago. En amortización parcial se reducirá </w:t>
      </w:r>
      <w:r>
        <w:rPr>
          <w:rFonts w:ascii="Arial" w:hAnsi="Arial"/>
          <w:b/>
          <w:color w:val="397CDD"/>
          <w:sz w:val="20"/>
          <w:shd w:fill="E8F0FB"/>
        </w:rPr>
        <w:t>[PLAZO / CUOTA; ELEGIR]</w:t>
      </w:r>
      <w:r>
        <w:rPr>
          <w:rFonts w:ascii="Arial" w:hAnsi="Arial"/>
          <w:color w:val="263A43"/>
          <w:sz w:val="20"/>
        </w:rPr>
        <w:t xml:space="preserve"> y se firmará un calendario actualizado.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Sexta. Incumplimiento. El impago de una cantidad vencida se comunicará por medio acreditable, concediendo diez días naturales para su regularización. Desde la mora legal o contractualmente procedente se aplicará a la cantidad vencida el interés de demora de </w:t>
      </w:r>
      <w:r>
        <w:rPr>
          <w:rFonts w:ascii="Arial" w:hAnsi="Arial"/>
          <w:b/>
          <w:color w:val="397CDD"/>
          <w:sz w:val="20"/>
          <w:shd w:fill="E8F0FB"/>
        </w:rPr>
        <w:t>[PORCENTAJE]</w:t>
      </w:r>
      <w:r>
        <w:rPr>
          <w:rFonts w:ascii="Arial" w:hAnsi="Arial"/>
          <w:color w:val="263A43"/>
          <w:sz w:val="20"/>
        </w:rPr>
        <w:t xml:space="preserve"> % anual, sin duplicar interés ordinario y moratorio sobre el mismo importe y período ni capitalizar automáticamente intereses. El vencimiento anticipado del saldo solo podrá exigirse ante incumplimiento esencial de </w:t>
      </w:r>
      <w:r>
        <w:rPr>
          <w:rFonts w:ascii="Arial" w:hAnsi="Arial"/>
          <w:b/>
          <w:color w:val="397CDD"/>
          <w:sz w:val="20"/>
          <w:shd w:fill="E8F0FB"/>
        </w:rPr>
        <w:t>[SUPUESTO CONCRETO]</w:t>
      </w:r>
      <w:r>
        <w:rPr>
          <w:rFonts w:ascii="Arial" w:hAnsi="Arial"/>
          <w:color w:val="263A43"/>
          <w:sz w:val="20"/>
        </w:rPr>
        <w:t xml:space="preserve">, tras requerimiento y plazo de subsanación de </w:t>
      </w:r>
      <w:r>
        <w:rPr>
          <w:rFonts w:ascii="Arial" w:hAnsi="Arial"/>
          <w:b/>
          <w:color w:val="397CDD"/>
          <w:sz w:val="20"/>
          <w:shd w:fill="E8F0FB"/>
        </w:rPr>
        <w:t>[DÍAS]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>Séptima. Fiscalidad y contabilidad. Cada parte cumplirá sus obligaciones fiscales y la sociedad practicará las retenciones legalmente exigibles. Las cantidades de interés pactadas son brutas. Se registrarán separadamente principal e intereses y se entregarán los justificantes y certificados correspondientes. Este contrato no atribuye al crédito preferencia ni garantía frente a otros acreedores.</w:t>
      </w:r>
    </w:p>
    <w:p>
      <w:pPr>
        <w:jc w:val="both"/>
      </w:pPr>
      <w:r>
        <w:rPr>
          <w:rFonts w:ascii="Arial" w:hAnsi="Arial"/>
          <w:color w:val="263A43"/>
          <w:sz w:val="20"/>
        </w:rPr>
        <w:t>Octava. Garantías y cesión. El préstamo se concede sin garantía real ni aval personal. Toda garantía adicional requerirá acuerdo y formalización propios. Ninguna modificación o cesión alterará las obligaciones de la otra parte sin cumplir los requisitos legales y, cuando sea necesario, su consentimiento.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Novena. Comunicaciones y modificaciones. Se utilizarán </w:t>
      </w:r>
      <w:r>
        <w:rPr>
          <w:rFonts w:ascii="Arial" w:hAnsi="Arial"/>
          <w:b/>
          <w:color w:val="397CDD"/>
          <w:sz w:val="20"/>
          <w:shd w:fill="E8F0FB"/>
        </w:rPr>
        <w:t>[DOMICILIOS/CANALES]</w:t>
      </w:r>
      <w:r>
        <w:rPr>
          <w:rFonts w:ascii="Arial" w:hAnsi="Arial"/>
          <w:color w:val="263A43"/>
          <w:sz w:val="20"/>
        </w:rPr>
        <w:t xml:space="preserve"> con prueba de contenido y recepción. Las modificaciones se documentarán por escrito. Si la sociedad es unipersonal, se observarán el libro-registro y las referencias exigidas para contratos con socio único.</w:t>
      </w:r>
    </w:p>
    <w:p>
      <w:pPr>
        <w:jc w:val="both"/>
      </w:pPr>
      <w:r>
        <w:rPr>
          <w:rFonts w:ascii="Arial" w:hAnsi="Arial"/>
          <w:color w:val="263A43"/>
          <w:sz w:val="20"/>
        </w:rPr>
        <w:t>Décima. Controversias. Se aplica el Derecho español. Las partes procurarán negociar de buena fe sin renunciar a acciones, plazos o medidas urgentes, y cumplirán el requisito negociador que legalmente proceda antes de acudir al órgano judicial competente.</w:t>
      </w:r>
    </w:p>
    <w:p>
      <w:pPr>
        <w:jc w:val="both"/>
      </w:pPr>
      <w:r>
        <w:rPr>
          <w:rFonts w:ascii="Arial" w:hAnsi="Arial"/>
          <w:color w:val="263A43"/>
          <w:sz w:val="20"/>
        </w:rPr>
        <w:t>Firman ambas partes, con sus anexos, en dos ejemplares o mediante firma electrónica verificable.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El prestamista: </w:t>
      </w:r>
      <w:r>
        <w:rPr>
          <w:rFonts w:ascii="Arial" w:hAnsi="Arial"/>
          <w:b/>
          <w:color w:val="397CDD"/>
          <w:sz w:val="20"/>
          <w:shd w:fill="E8F0FB"/>
        </w:rPr>
        <w:t>[FIRMA]</w:t>
      </w:r>
      <w:r>
        <w:rPr>
          <w:rFonts w:ascii="Arial" w:hAnsi="Arial"/>
          <w:color w:val="263A43"/>
          <w:sz w:val="20"/>
        </w:rPr>
        <w:t xml:space="preserve">. Por la sociedad: </w:t>
      </w:r>
      <w:r>
        <w:rPr>
          <w:rFonts w:ascii="Arial" w:hAnsi="Arial"/>
          <w:b/>
          <w:color w:val="397CDD"/>
          <w:sz w:val="20"/>
          <w:shd w:fill="E8F0FB"/>
        </w:rPr>
        <w:t>[FIRMA, NOMBRE Y CARGO]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>Anexos: calendario; autorización societaria, si procede; justificación económica; justificante de entrega cuando se produzca.</w:t>
      </w:r>
    </w:p>
    <w:p>
      <w:r>
        <w:br w:type="page"/>
      </w:r>
    </w:p>
    <w:p>
      <w:pPr>
        <w:pStyle w:val="Heading1"/>
        <w:jc w:val="center"/>
      </w:pPr>
      <w:r>
        <w:t>GUÍA DE REVISIÓN · NO ADJUNTAR AL ESCRITO</w:t>
      </w:r>
    </w:p>
    <w:p>
      <w:pPr>
        <w:pStyle w:val="Heading2"/>
      </w:pPr>
      <w:r>
        <w:t>Finalidad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Documentar un préstamo dinerario ordinario del socio a la sociedad con desembolso comprobable y devolución determinada.</w:t>
      </w:r>
    </w:p>
    <w:p>
      <w:pPr>
        <w:pStyle w:val="Heading2"/>
      </w:pPr>
      <w:r>
        <w:t>Cuándo utilizarlo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Financiación ordinaria del socio a una SL, con capacidad de devolución, representación válida y condiciones fiscalmente justificadas.</w:t>
      </w:r>
    </w:p>
    <w:p>
      <w:pPr>
        <w:pStyle w:val="Heading2"/>
      </w:pPr>
      <w:r>
        <w:t>Cuándo no utilizarlo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Sociedad que presta al socio; financiación participativa; insolvencia; garantías hipotecarias; conflicto o socio único sin formalidades revisadas.</w:t>
      </w:r>
    </w:p>
    <w:p>
      <w:pPr>
        <w:pStyle w:val="Heading2"/>
      </w:pPr>
      <w:r>
        <w:t>Plazos</w:t>
      </w:r>
    </w:p>
    <w:p>
      <w:pPr>
        <w:jc w:val="both"/>
      </w:pPr>
      <w:r>
        <w:rPr>
          <w:rFonts w:ascii="Arial" w:hAnsi="Arial"/>
          <w:color w:val="263A43"/>
          <w:sz w:val="20"/>
        </w:rPr>
        <w:t>Firmar antes o simultáneamente al desembolso real; no antedatar. Revisar calendarios fiscales, retenciones y registro especial de contratos con socio único cuando proceda.</w:t>
      </w:r>
    </w:p>
    <w:p>
      <w:pPr>
        <w:pStyle w:val="Heading2"/>
      </w:pPr>
      <w:r>
        <w:t>Dónde y cómo presentarlo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Contrato privado firmado por ambas partes, transferencia identificada y archivo contable. Documento público cuando una garantía u otra exigencia lo requiera.</w:t>
      </w:r>
    </w:p>
    <w:p>
      <w:pPr>
        <w:pStyle w:val="Heading2"/>
      </w:pPr>
      <w:r>
        <w:t>Intervención y revisión profesional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Revisión mercantil y fiscal muy recomendable; revisión obligatoria de seguridad si firma la misma persona por ambas partes o hay insolvencia.</w:t>
      </w:r>
    </w:p>
    <w:p>
      <w:pPr>
        <w:pStyle w:val="Heading2"/>
      </w:pPr>
      <w:r>
        <w:t>Documentación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Estatutos y poderes; identidad y porcentaje del socio; autorización societaria; plan de pagos; justificación de valor de mercado; extracto del desembolso.</w:t>
      </w:r>
    </w:p>
    <w:p>
      <w:pPr>
        <w:pStyle w:val="Heading2"/>
      </w:pPr>
      <w:r>
        <w:t>Auditoría de seguridad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Se limita al socio prestamista y sociedad prestataria. Excluye préstamo inverso, participativo, garantías reales y autocontratación sin autorización específica.</w:t>
      </w:r>
    </w:p>
    <w:p>
      <w:pPr>
        <w:pStyle w:val="Heading2"/>
      </w:pPr>
      <w:r>
        <w:t>Advertencias específicas</w:t>
      </w:r>
    </w:p>
    <w:p>
      <w:pPr>
        <w:jc w:val="both"/>
      </w:pPr>
      <w:r>
        <w:rPr>
          <w:rFonts w:ascii="Arial" w:hAnsi="Arial"/>
          <w:color w:val="263A43"/>
          <w:sz w:val="20"/>
        </w:rPr>
        <w:t>Ámbito: sociedad limitada española no cotizada, salvo indicación distinta. Comprobar estatutos, libro registro, poderes, conflictos de interés, situación patrimonial y fiscalidad. No dar por celebrada una junta, realizado un pago ni otorgada una escritura que no existan. El modelo no sustituye certificaciones, formularios registrales, asesoramiento fiscal ni documento público exigible.</w:t>
      </w:r>
    </w:p>
    <w:p>
      <w:pPr>
        <w:pStyle w:val="Heading2"/>
      </w:pPr>
      <w:r>
        <w:t>Cumplimentación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Sustituya todos los campos entre corchetes por datos comprobados. Repita filas o registros de los anexos cuando sea necesario. Conserve una sola alternativa cuando se indique. Elimine controles internos, instrucciones y guía antes de enviar; revise cifras, plazos, representación, destinatario y firmas. No antedate ni afirme pagos, acuerdos o notificaciones inexistentes.</w:t>
      </w:r>
    </w:p>
    <w:p>
      <w:pPr>
        <w:pStyle w:val="Heading2"/>
      </w:pPr>
      <w:r>
        <w:t>Campos editables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LOCALIDAD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FECHA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SOCIO</w:t>
      </w:r>
    </w:p>
    <w:p>
      <w:pPr>
        <w:jc w:val="both"/>
      </w:pPr>
      <w:r>
        <w:rPr>
          <w:rFonts w:ascii="Arial" w:hAnsi="Arial"/>
          <w:color w:val="263A43"/>
          <w:sz w:val="20"/>
        </w:rPr>
        <w:t>-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SOCIEDAD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TÍTULO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PORCENTAJE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ACUERDO Y FECHA, SI PROCEDE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IMPORTE EN NÚMERO Y LETRA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FINALIDAD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IBAN DEL SOCIO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IBAN SOCIAL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NÚMERO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CUENTA DEL PRESTAMISTA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PERIODICIDAD Y FECHAS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DOCUMENTO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PLAZO / CUOTA; ELEGIR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SUPUESTO CONCRETO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DÍAS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DOMICILIOS/CANALES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FIRMA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FIRMA, NOMBRE Y CARGO</w:t>
      </w:r>
    </w:p>
    <w:p>
      <w:pPr>
        <w:pStyle w:val="Heading2"/>
      </w:pPr>
      <w:r>
        <w:t>Fuentes oficiales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Código Civil — https://www.boe.es/buscar/act.php?id=BOE-A-1889-4763: arts. 1091, 1100, 1108, 1255, 1258 y 1740 a 1757.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RDL 1/2010, texto refundido de la Ley de Sociedades de Capital — https://www.boe.es/buscar/act.php?id=BOE-A-2010-10544: arts. 16, 190 y 228 a 230, según el conflicto.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Ley 27/2014, del Impuesto sobre Sociedades — https://www.boe.es/eli/es/l/2014/11/27/27/con: art. 18, cuando exista vinculación.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Ley Orgánica 1/2025, de eficiencia del Servicio Público de Justicia — https://www.boe.es/buscar/act.php?id=BOE-A-2025-76: arts. 2 a 10, cuando proceda negociación previa.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Revisión normativa documental: 13 de septiembre de 2026. Comprueba la normativa, el procedimiento y los datos del caso antes de utilizarlo. Plantilla general: completar, contrastar documentos y eliminar las alternativas no aplicables. No garantiza un resultado ni sustituye actuaciones profesionales o formularios obligatorios.</w:t>
      </w:r>
    </w:p>
    <w:p>
      <w:pPr>
        <w:jc w:val="both"/>
      </w:pPr>
      <w:r>
        <w:rPr>
          <w:rFonts w:ascii="Arial" w:hAnsi="Arial"/>
          <w:color w:val="263A43"/>
          <w:sz w:val="20"/>
        </w:rPr>
        <w:t>El contraste se ha efectuado sobre las fuentes oficiales identificadas, no sobre todos los regímenes territoriales, convenios privados, bases de convocatoria, estatutos o jurisprudencia posible. Las versiones consolidadas facilitan la consulta pero debe comprobarse la publicación oficial y la vigencia temporal del precepto aplicable. No se ha efectuado una auditoría de duplicidades del catálogo actualmente publicado en la web.</w:t>
      </w:r>
    </w:p>
    <w:p>
      <w:pPr>
        <w:pStyle w:val="Heading1"/>
      </w:pPr>
      <w:r>
        <w:t>Fuentes oficiales verificadas</w:t>
      </w:r>
    </w:p>
    <w:p>
      <w:r>
        <w:rPr>
          <w:rFonts w:ascii="Arial" w:hAnsi="Arial"/>
          <w:i/>
          <w:color w:val="68777D"/>
          <w:sz w:val="16"/>
        </w:rPr>
        <w:t>Revisión documental: 13 de septiembre de 2026. Comprueba vigencia, competencia, procedimiento y plazo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