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SOCIEDADES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Prestación de servicios entre socio y sociedad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Precisar servicios reales y autónomos de un socio a la sociedad, con precio, entregables y controles de vinculación y conflicto.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Funciones de administrador o consejero ejecutivo no regularizadas, prestación dependiente laboral, actividad profesional regulada sin habilitación o conflicto no autorizado.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CONTRATO DE PRESTACIÓN DE SERVICIOS ENTRE SOCIO Y SOCIEDAD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REUNIDOS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[PERSONA PRESTADORA]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condición de socio </w:t>
      </w:r>
      <w:r>
        <w:rPr>
          <w:rFonts w:ascii="Arial" w:hAnsi="Arial"/>
          <w:b/>
          <w:color w:val="397CDD"/>
          <w:sz w:val="20"/>
          <w:shd w:fill="E8F0FB"/>
        </w:rPr>
        <w:t>[PORCENTAJE]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en adelante la prestadora.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[SOCIEDAD]</w:t>
      </w:r>
      <w:r>
        <w:rPr>
          <w:rFonts w:ascii="Arial" w:hAnsi="Arial"/>
          <w:color w:val="263A43"/>
          <w:sz w:val="20"/>
        </w:rPr>
        <w:t xml:space="preserve">, S.L.,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representada por </w:t>
      </w:r>
      <w:r>
        <w:rPr>
          <w:rFonts w:ascii="Arial" w:hAnsi="Arial"/>
          <w:b/>
          <w:color w:val="397CDD"/>
          <w:sz w:val="20"/>
          <w:shd w:fill="E8F0FB"/>
        </w:rPr>
        <w:t>[NOMBRE, CARGO Y PODER]</w:t>
      </w:r>
      <w:r>
        <w:rPr>
          <w:rFonts w:ascii="Arial" w:hAnsi="Arial"/>
          <w:color w:val="263A43"/>
          <w:sz w:val="20"/>
        </w:rPr>
        <w:t>, en adelante la sociedad.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Ambas partes identifican los acuerdos necesarios para esta contratación en </w:t>
      </w:r>
      <w:r>
        <w:rPr>
          <w:rFonts w:ascii="Arial" w:hAnsi="Arial"/>
          <w:b/>
          <w:color w:val="397CDD"/>
          <w:sz w:val="20"/>
          <w:shd w:fill="E8F0FB"/>
        </w:rPr>
        <w:t>[ACUERDO Y FECHA, SI PROCEDE]</w:t>
      </w:r>
      <w:r>
        <w:rPr>
          <w:rFonts w:ascii="Arial" w:hAnsi="Arial"/>
          <w:color w:val="263A43"/>
          <w:sz w:val="20"/>
        </w:rPr>
        <w:t xml:space="preserve"> y</w:t>
      </w:r>
    </w:p>
    <w:p>
      <w:pPr>
        <w:pStyle w:val="Heading2"/>
      </w:pPr>
      <w:r>
        <w:t>ACUERDAN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Objeto y alcance. La prestadora realizará </w:t>
      </w:r>
      <w:r>
        <w:rPr>
          <w:rFonts w:ascii="Arial" w:hAnsi="Arial"/>
          <w:b/>
          <w:color w:val="397CDD"/>
          <w:sz w:val="20"/>
          <w:shd w:fill="E8F0FB"/>
        </w:rPr>
        <w:t>[SERVICIOS CONCRETOS]</w:t>
      </w:r>
      <w:r>
        <w:rPr>
          <w:rFonts w:ascii="Arial" w:hAnsi="Arial"/>
          <w:color w:val="263A43"/>
          <w:sz w:val="20"/>
        </w:rPr>
        <w:t xml:space="preserve">, con los entregables </w:t>
      </w:r>
      <w:r>
        <w:rPr>
          <w:rFonts w:ascii="Arial" w:hAnsi="Arial"/>
          <w:b/>
          <w:color w:val="397CDD"/>
          <w:sz w:val="20"/>
          <w:shd w:fill="E8F0FB"/>
        </w:rPr>
        <w:t>[DOCUMENTOS, RESULTADOS O HITOS]</w:t>
      </w:r>
      <w:r>
        <w:rPr>
          <w:rFonts w:ascii="Arial" w:hAnsi="Arial"/>
          <w:color w:val="263A43"/>
          <w:sz w:val="20"/>
        </w:rPr>
        <w:t xml:space="preserve">, según especificaciones del anexo. Quedan excluidos </w:t>
      </w:r>
      <w:r>
        <w:rPr>
          <w:rFonts w:ascii="Arial" w:hAnsi="Arial"/>
          <w:b/>
          <w:color w:val="397CDD"/>
          <w:sz w:val="20"/>
          <w:shd w:fill="E8F0FB"/>
        </w:rPr>
        <w:t>[TRABAJOS NO INCLUIDOS]</w:t>
      </w:r>
      <w:r>
        <w:rPr>
          <w:rFonts w:ascii="Arial" w:hAnsi="Arial"/>
          <w:color w:val="263A43"/>
          <w:sz w:val="20"/>
        </w:rPr>
        <w:t xml:space="preserve"> y las funciones orgánicas de administración o ejecutivas que deban someterse a un régimen específico.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Organización real. La prestación se desarrollará con autonomía técnica y organizativa, con medios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coordinación mediante </w:t>
      </w:r>
      <w:r>
        <w:rPr>
          <w:rFonts w:ascii="Arial" w:hAnsi="Arial"/>
          <w:b/>
          <w:color w:val="397CDD"/>
          <w:sz w:val="20"/>
          <w:shd w:fill="E8F0FB"/>
        </w:rPr>
        <w:t>[INTERLOCUTOR Y CANAL]</w:t>
      </w:r>
      <w:r>
        <w:rPr>
          <w:rFonts w:ascii="Arial" w:hAnsi="Arial"/>
          <w:color w:val="263A43"/>
          <w:sz w:val="20"/>
        </w:rPr>
        <w:t>. No se pacta una etiqueta mercantil para encubrir subordinación laboral. Si las condiciones efectivas revelan una relación de otra naturaleza, las partes deberán regularizarla conforme a la ley, sin renuncia a derechos indisponibles.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Plazo e hitos. La duración será desde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hasta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hitos </w:t>
      </w:r>
      <w:r>
        <w:rPr>
          <w:rFonts w:ascii="Arial" w:hAnsi="Arial"/>
          <w:b/>
          <w:color w:val="397CDD"/>
          <w:sz w:val="20"/>
          <w:shd w:fill="E8F0FB"/>
        </w:rPr>
        <w:t>[FECHAS Y ENTREGABLES]</w:t>
      </w:r>
      <w:r>
        <w:rPr>
          <w:rFonts w:ascii="Arial" w:hAnsi="Arial"/>
          <w:color w:val="263A43"/>
          <w:sz w:val="20"/>
        </w:rPr>
        <w:t xml:space="preserve">. La sociedad facilitará </w:t>
      </w:r>
      <w:r>
        <w:rPr>
          <w:rFonts w:ascii="Arial" w:hAnsi="Arial"/>
          <w:b/>
          <w:color w:val="397CDD"/>
          <w:sz w:val="20"/>
          <w:shd w:fill="E8F0FB"/>
        </w:rPr>
        <w:t>[INFORMACIÓN Y ACCESOS]</w:t>
      </w:r>
      <w:r>
        <w:rPr>
          <w:rFonts w:ascii="Arial" w:hAnsi="Arial"/>
          <w:color w:val="263A43"/>
          <w:sz w:val="20"/>
        </w:rPr>
        <w:t xml:space="preserve"> antes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Los retrasos imputables a la falta de colaboración se documentarán y darán lugar al ajuste proporcionado del calendario, no a una prórroga indefinida automática.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Precio y facturación. El precio bruto, antes de impuestos indirectos y retenciones legalmente procedentes, será </w:t>
      </w:r>
      <w:r>
        <w:rPr>
          <w:rFonts w:ascii="Arial" w:hAnsi="Arial"/>
          <w:b/>
          <w:color w:val="397CDD"/>
          <w:sz w:val="20"/>
          <w:shd w:fill="E8F0FB"/>
        </w:rPr>
        <w:t>[IMPORTE O TARIFA Y LÍMITE]</w:t>
      </w:r>
      <w:r>
        <w:rPr>
          <w:rFonts w:ascii="Arial" w:hAnsi="Arial"/>
          <w:color w:val="263A43"/>
          <w:sz w:val="20"/>
        </w:rPr>
        <w:t xml:space="preserve">. Se facturará </w:t>
      </w:r>
      <w:r>
        <w:rPr>
          <w:rFonts w:ascii="Arial" w:hAnsi="Arial"/>
          <w:b/>
          <w:color w:val="397CDD"/>
          <w:sz w:val="20"/>
          <w:shd w:fill="E8F0FB"/>
        </w:rPr>
        <w:t>[PERIODICIDAD/HITO]</w:t>
      </w:r>
      <w:r>
        <w:rPr>
          <w:rFonts w:ascii="Arial" w:hAnsi="Arial"/>
          <w:color w:val="263A43"/>
          <w:sz w:val="20"/>
        </w:rPr>
        <w:t xml:space="preserve">, detallando el trabajo. El pago se efectuará en </w:t>
      </w:r>
      <w:r>
        <w:rPr>
          <w:rFonts w:ascii="Arial" w:hAnsi="Arial"/>
          <w:b/>
          <w:color w:val="397CDD"/>
          <w:sz w:val="20"/>
          <w:shd w:fill="E8F0FB"/>
        </w:rPr>
        <w:t>[DÍAS Y CUENTA]</w:t>
      </w:r>
      <w:r>
        <w:rPr>
          <w:rFonts w:ascii="Arial" w:hAnsi="Arial"/>
          <w:color w:val="263A43"/>
          <w:sz w:val="20"/>
        </w:rPr>
        <w:t xml:space="preserve">, dentro de los límites legales aplicables. Los gastos solo se reembolsarán si fueron autorizados por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, son necesarios y se justifican, con límite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La documentación del valor pactado se conservará para la fiscalidad de operaciones vinculadas cuando proceda.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Quinta. Recepción y correcciones. La sociedad comprobará cada entregable en </w:t>
      </w:r>
      <w:r>
        <w:rPr>
          <w:rFonts w:ascii="Arial" w:hAnsi="Arial"/>
          <w:b/>
          <w:color w:val="397CDD"/>
          <w:sz w:val="20"/>
          <w:shd w:fill="E8F0FB"/>
        </w:rPr>
        <w:t>[DÍAS]</w:t>
      </w:r>
      <w:r>
        <w:rPr>
          <w:rFonts w:ascii="Arial" w:hAnsi="Arial"/>
          <w:color w:val="263A43"/>
          <w:sz w:val="20"/>
        </w:rPr>
        <w:t xml:space="preserve"> y comunicará incumplimientos concretos de las especificaciones. La prestadora corregirá los defectos imputables en </w:t>
      </w:r>
      <w:r>
        <w:rPr>
          <w:rFonts w:ascii="Arial" w:hAnsi="Arial"/>
          <w:b/>
          <w:color w:val="397CDD"/>
          <w:sz w:val="20"/>
          <w:shd w:fill="E8F0FB"/>
        </w:rPr>
        <w:t>[PLAZO RAZONABLE]</w:t>
      </w:r>
      <w:r>
        <w:rPr>
          <w:rFonts w:ascii="Arial" w:hAnsi="Arial"/>
          <w:color w:val="263A43"/>
          <w:sz w:val="20"/>
        </w:rPr>
        <w:t>. La falta de respuesta no convalida defectos ocultos ni implica renuncia global. Los trabajos adicionales requerirán presupuesto y aceptación separados.</w:t>
      </w:r>
    </w:p>
    <w:p>
      <w:pPr>
        <w:jc w:val="both"/>
      </w:pPr>
      <w:r>
        <w:rPr>
          <w:rFonts w:ascii="Arial" w:hAnsi="Arial"/>
          <w:color w:val="263A43"/>
          <w:sz w:val="20"/>
        </w:rPr>
        <w:t>Sexta. Deberes y responsabilidad. La prestadora actuará con diligencia profesional, habilitación suficiente y respeto a la normativa del servicio, sin garantizar resultados ajenos a su control. Cada parte responde de sus incumplimientos y daños acreditados conforme a la ley. No se excluye responsabilidad por dolo ni por obligaciones que no admitan limitación.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Séptima. Confidencialidad y datos. Se protegerá la información no pública recibida para este contrato, limitando acceso y uso a su ejecución, con las excepciones de información lícita previa, pública o de revelación legalmente exigida. Antes de acceder a datos personales se definirán los roles y se firmará, cuando proceda, el acuerdo específico de encargo de tratamiento; esta cláusula no lo sustituye.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Octava. Resultados y materiales previos. La titularidad de materiales preexistentes permanece en su titular. Los derechos de uso o explotación sobre entregables se concretan en el anexo: </w:t>
      </w:r>
      <w:r>
        <w:rPr>
          <w:rFonts w:ascii="Arial" w:hAnsi="Arial"/>
          <w:b/>
          <w:color w:val="397CDD"/>
          <w:sz w:val="20"/>
          <w:shd w:fill="E8F0FB"/>
        </w:rPr>
        <w:t>[OBRAS, DERECHOS, MODALIDADES, TERRITORIO Y DURACIÓN]</w:t>
      </w:r>
      <w:r>
        <w:rPr>
          <w:rFonts w:ascii="Arial" w:hAnsi="Arial"/>
          <w:color w:val="263A43"/>
          <w:sz w:val="20"/>
        </w:rPr>
        <w:t>. En ausencia de cesión válida, no se presume transmisión universal de derechos ni se incluyen derechos irrenunciables.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Novena. Extinción. Cualquiera podrá no renovar o denunciar el contrato con </w:t>
      </w:r>
      <w:r>
        <w:rPr>
          <w:rFonts w:ascii="Arial" w:hAnsi="Arial"/>
          <w:b/>
          <w:color w:val="397CDD"/>
          <w:sz w:val="20"/>
          <w:shd w:fill="E8F0FB"/>
        </w:rPr>
        <w:t>[DÍAS]</w:t>
      </w:r>
      <w:r>
        <w:rPr>
          <w:rFonts w:ascii="Arial" w:hAnsi="Arial"/>
          <w:color w:val="263A43"/>
          <w:sz w:val="20"/>
        </w:rPr>
        <w:t xml:space="preserve"> de preaviso. Ante incumplimiento esencial se requerirá subsanación en </w:t>
      </w:r>
      <w:r>
        <w:rPr>
          <w:rFonts w:ascii="Arial" w:hAnsi="Arial"/>
          <w:b/>
          <w:color w:val="397CDD"/>
          <w:sz w:val="20"/>
          <w:shd w:fill="E8F0FB"/>
        </w:rPr>
        <w:t>[DÍAS]</w:t>
      </w:r>
      <w:r>
        <w:rPr>
          <w:rFonts w:ascii="Arial" w:hAnsi="Arial"/>
          <w:color w:val="263A43"/>
          <w:sz w:val="20"/>
        </w:rPr>
        <w:t>, salvo imposibilidad legalmente justificada. Se liquidarán los servicios efectivamente realizados y gastos autorizados, se entregará el trabajo abonado y se devolverán accesos e información, respetando obligaciones legales de conservación.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Décima. Integridad y conflictos. Las modificaciones serán escritas. Se aplicará el Derecho español y el órgano competente conforme a la ley, cumpliendo el trámite negociador que proceda y preservando medidas urgentes. La sociedad observará los acuerdos, abstenciones y formalidades exigibles por conflicto de interés o unipersonalidad.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 de la prestadora: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Firma de la sociedad: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alcance y calendario; precio; acuerdos societarios; derechos de uso; protección de datos, si procede.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Precisar servicios reales y autónomos de un socio a la sociedad, con precio, entregables y controles de vinculación y conflicto.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Servicios independientes identificables, distintos de funciones que requieran un régimen laboral u orgánico específico.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Funciones de administrador o consejero ejecutivo no regularizadas, prestación dependiente laboral, actividad profesional regulada sin habilitación o conflicto no autorizado.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Formalizar antes de prestar servicios; no crear facturas o actas retroactivas. Revisar aprobación de junta del art. 220 LSC si el prestador es administrador de una SL.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Contrato y anexos firmados, archivo societario y contable; acuerdo de junta y régimen de socio único cuando procedan.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mercantil, laboral y fiscal muy recomendable; obligatoria de seguridad ante administrador, autocontratación o tratamiento de datos por encargo.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Alta/actividad y habilitación; objeto y entregables; poderes; acuerdo societario; presupuesto; valoración vinculada; roles de datos e información confidencial.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legitima un falso autónomo ni sustituye el régimen retributivo de administradores. Se exige separar servicios, relación laboral y funciones orgánicas.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Ámbito: sociedad limitada española no cotizada, salvo indicación distinta. Comprobar estatutos, libro registro, poderes, conflictos de interés, situación patrimonial y fiscalidad. No dar por celebrada una junta, realizado un pago ni otorgada una escritura que no existan. El modelo no sustituye certificaciones, formularios registrales, asesoramiento fiscal ni documento público exigible.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PERSONA PRESTADORA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PORCENTAJE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CARGO Y PODER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ACUERDO Y FECHA,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SERVICIOS CONCRETOS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DOCUMENTOS, RESULTADOS O HITOS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TRABAJOS NO INCLUIDOS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INTERLOCUTOR Y 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FECHAS Y ENTREGABLES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INFORMACIÓN Y ACCESOS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 O TARIFA Y LÍMITE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PERIODICIDAD/HITO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DÍAS Y CUENTA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DÍAS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PLAZO RAZONABLE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OBRAS, DERECHOS, MODALIDADES, TERRITORIO Y DURACIÓN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1255, 1258 y 1544.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1/2010, texto refundido de la Ley de Sociedades de Capital — https://www.boe.es/buscar/act.php?id=BOE-A-2010-10544: arts. 16, 217, 220, 228 a 230 y 249, según el caso.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27/2014, del Impuesto sobre Sociedades — https://www.boe.es/eli/es/l/2014/11/27/27/con: art. 18, cuando exista vinculación.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Reglamento (UE) 2016/679, protección de datos personales — https://eur-lex.europa.eu/legal-content/ES/TXT/?uri=CELEX:32016R0679: arts. 5, 6, 28 y 32, según el tratamiento.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Orgánica 1/2025, de eficiencia del Servicio Público de Justicia — https://www.boe.es/buscar/act.php?id=BOE-A-2025-76: arts. 2 a 10, cuando proceda negociación previa.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