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Petición al notario de interpelación al heredero del artículo 1005</w:t>
      </w:r>
    </w:p>
    <w:p>
      <w:pPr>
        <w:jc w:val="center"/>
      </w:pPr>
      <w:r>
        <w:rPr>
          <w:rFonts w:ascii="Arial" w:hAnsi="Arial"/>
          <w:color w:val="68777D"/>
          <w:sz w:val="20"/>
        </w:rPr>
        <w:t>Petición preparatoria para que un notario valore y tramite la comunicación al llamado a una herencia prevista en el Código Civil común.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PETICIÓN NOTARIAL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La carta al notario no inicia los treinta días. En el régimen del artículo 1005 CC, la comunicación notarial válida concede treinta días naturales y advierte que el silencio implica aceptación pura y simple, con el riesgo de responsabilidad correspondiente.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PETICIÓN NOTARIAL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 LA NOTARÍA DE [NOTARIO Y LOCALIDAD]</w:t>
      </w:r>
    </w:p>
    <w:p>
      <w:pPr>
        <w:jc w:val="both"/>
      </w:pPr>
      <w:r>
        <w:rPr>
          <w:rFonts w:ascii="Arial" w:hAnsi="Arial"/>
          <w:color w:val="263A43"/>
          <w:sz w:val="20"/>
        </w:rPr>
        <w:t>Asunto: petición de valoración y tramitación de comunicación al llamado a la herencia conforme al artículo 1005 del Código Civil, si resulta aplicable.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[DOMICILIO]</w:t>
      </w:r>
      <w:r>
        <w:rPr>
          <w:rFonts w:ascii="Arial" w:hAnsi="Arial"/>
          <w:color w:val="263A43"/>
          <w:sz w:val="20"/>
        </w:rPr>
        <w:t xml:space="preserve"> y contacto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REPRESENTACIÓN ACREDITADA]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D./D.ª </w:t>
      </w:r>
      <w:r>
        <w:rPr>
          <w:rFonts w:ascii="Arial" w:hAnsi="Arial"/>
          <w:b/>
          <w:color w:val="397CDD"/>
          <w:sz w:val="20"/>
          <w:shd w:fill="E8F0FB"/>
        </w:rPr>
        <w:t>[CAUSANTE, IDENTIFICACIÓN]</w:t>
      </w:r>
      <w:r>
        <w:rPr>
          <w:rFonts w:ascii="Arial" w:hAnsi="Arial"/>
          <w:color w:val="263A43"/>
          <w:sz w:val="20"/>
        </w:rPr>
        <w:t xml:space="preserve"> falleció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en </w:t>
      </w:r>
      <w:r>
        <w:rPr>
          <w:rFonts w:ascii="Arial" w:hAnsi="Arial"/>
          <w:b/>
          <w:color w:val="397CDD"/>
          <w:sz w:val="20"/>
          <w:shd w:fill="E8F0FB"/>
        </w:rPr>
        <w:t>[LUGAR]</w:t>
      </w:r>
      <w:r>
        <w:rPr>
          <w:rFonts w:ascii="Arial" w:hAnsi="Arial"/>
          <w:color w:val="263A43"/>
          <w:sz w:val="20"/>
        </w:rPr>
        <w:t xml:space="preserve">. Se acompañan </w:t>
      </w:r>
      <w:r>
        <w:rPr>
          <w:rFonts w:ascii="Arial" w:hAnsi="Arial"/>
          <w:b/>
          <w:color w:val="397CDD"/>
          <w:sz w:val="20"/>
          <w:shd w:fill="E8F0FB"/>
        </w:rPr>
        <w:t>[DEFUNCIÓN Y DOCUMENTACIÓN SUCESORIA]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El llamamiento de D./D.ª </w:t>
      </w:r>
      <w:r>
        <w:rPr>
          <w:rFonts w:ascii="Arial" w:hAnsi="Arial"/>
          <w:b/>
          <w:color w:val="397CDD"/>
          <w:sz w:val="20"/>
          <w:shd w:fill="E8F0FB"/>
        </w:rPr>
        <w:t>[NOMBRE DEL LLAMADO]</w:t>
      </w:r>
      <w:r>
        <w:rPr>
          <w:rFonts w:ascii="Arial" w:hAnsi="Arial"/>
          <w:color w:val="263A43"/>
          <w:sz w:val="20"/>
        </w:rPr>
        <w:t xml:space="preserve"> resulta de </w:t>
      </w:r>
      <w:r>
        <w:rPr>
          <w:rFonts w:ascii="Arial" w:hAnsi="Arial"/>
          <w:b/>
          <w:color w:val="397CDD"/>
          <w:sz w:val="20"/>
          <w:shd w:fill="E8F0FB"/>
        </w:rPr>
        <w:t>[TESTAMENTO O DECLARACIÓN, CLÁUSULA Y DATOS]</w:t>
      </w:r>
      <w:r>
        <w:rPr>
          <w:rFonts w:ascii="Arial" w:hAnsi="Arial"/>
          <w:color w:val="263A43"/>
          <w:sz w:val="20"/>
        </w:rPr>
        <w:t xml:space="preserve">. Su domicilio o localización conocidos son </w:t>
      </w:r>
      <w:r>
        <w:rPr>
          <w:rFonts w:ascii="Arial" w:hAnsi="Arial"/>
          <w:b/>
          <w:color w:val="397CDD"/>
          <w:sz w:val="20"/>
          <w:shd w:fill="E8F0FB"/>
        </w:rPr>
        <w:t>[DATOS Y FUENTE]</w:t>
      </w:r>
      <w:r>
        <w:rPr>
          <w:rFonts w:ascii="Arial" w:hAnsi="Arial"/>
          <w:color w:val="263A43"/>
          <w:sz w:val="20"/>
        </w:rPr>
        <w:t xml:space="preserve">. Otros datos útiles para su identificación: </w:t>
      </w:r>
      <w:r>
        <w:rPr>
          <w:rFonts w:ascii="Arial" w:hAnsi="Arial"/>
          <w:b/>
          <w:color w:val="397CDD"/>
          <w:sz w:val="20"/>
          <w:shd w:fill="E8F0FB"/>
        </w:rPr>
        <w:t>[DATOS NECESARIOS]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Mi interés en que manifieste su decisión se fundamenta en </w:t>
      </w:r>
      <w:r>
        <w:rPr>
          <w:rFonts w:ascii="Arial" w:hAnsi="Arial"/>
          <w:b/>
          <w:color w:val="397CDD"/>
          <w:sz w:val="20"/>
          <w:shd w:fill="E8F0FB"/>
        </w:rPr>
        <w:t>[CONDICIÓN Y CONSECUENCIA CONCRETA]</w:t>
      </w:r>
      <w:r>
        <w:rPr>
          <w:rFonts w:ascii="Arial" w:hAnsi="Arial"/>
          <w:color w:val="263A43"/>
          <w:sz w:val="20"/>
        </w:rPr>
        <w:t xml:space="preserve">, que acredito con </w:t>
      </w:r>
      <w:r>
        <w:rPr>
          <w:rFonts w:ascii="Arial" w:hAnsi="Arial"/>
          <w:b/>
          <w:color w:val="397CDD"/>
          <w:sz w:val="20"/>
          <w:shd w:fill="E8F0FB"/>
        </w:rPr>
        <w:t>[DOCUMENTOS]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Sobre la decisión del llamado me consta </w:t>
      </w:r>
      <w:r>
        <w:rPr>
          <w:rFonts w:ascii="Arial" w:hAnsi="Arial"/>
          <w:b/>
          <w:color w:val="397CDD"/>
          <w:sz w:val="20"/>
          <w:shd w:fill="E8F0FB"/>
        </w:rPr>
        <w:t>[COMUNICACIONES O ACTOS CONOCIDOS, CON FECHAS]</w:t>
      </w:r>
      <w:r>
        <w:rPr>
          <w:rFonts w:ascii="Arial" w:hAnsi="Arial"/>
          <w:color w:val="263A43"/>
          <w:sz w:val="20"/>
        </w:rPr>
        <w:t xml:space="preserve">. Desconozco </w:t>
      </w:r>
      <w:r>
        <w:rPr>
          <w:rFonts w:ascii="Arial" w:hAnsi="Arial"/>
          <w:b/>
          <w:color w:val="397CDD"/>
          <w:sz w:val="20"/>
          <w:shd w:fill="E8F0FB"/>
        </w:rPr>
        <w:t>[DATOS NO VERIFICADOS]</w:t>
      </w:r>
      <w:r>
        <w:rPr>
          <w:rFonts w:ascii="Arial" w:hAnsi="Arial"/>
          <w:color w:val="263A43"/>
          <w:sz w:val="20"/>
        </w:rPr>
        <w:t>. No afirmo la inexistencia de aceptación previa más allá de la información disponible.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La ley sucesoria y los presupuestos temporales se someten a su comprobación a partir de </w:t>
      </w:r>
      <w:r>
        <w:rPr>
          <w:rFonts w:ascii="Arial" w:hAnsi="Arial"/>
          <w:b/>
          <w:color w:val="397CDD"/>
          <w:sz w:val="20"/>
          <w:shd w:fill="E8F0FB"/>
        </w:rPr>
        <w:t>[DATOS DE VECINDAD CIVIL, NACIONALIDAD, RESIDENCIA, TÍTULO Y FECHA DE MUERTE]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r>
        <w:rPr>
          <w:rFonts w:ascii="Arial" w:hAnsi="Arial"/>
          <w:color w:val="263A43"/>
          <w:sz w:val="20"/>
        </w:rPr>
        <w:t>1. Que examine la aplicabilidad del artículo 1005 del Código Civil, la suficiencia de mi interés y de la documentación, los requisitos temporales y los demás presupuestos necesarios.</w:t>
      </w:r>
    </w:p>
    <w:p>
      <w:r>
        <w:rPr>
          <w:rFonts w:ascii="Arial" w:hAnsi="Arial"/>
          <w:color w:val="263A43"/>
          <w:sz w:val="20"/>
        </w:rPr>
        <w:t>2. Que, si procede, autorice y tramite la actuación notarial mediante la cual se comunique al llamado el plazo legal de treinta días naturales para aceptar pura y simplemente, aceptar a beneficio de inventario o repudiar, con la advertencia legal relativa al silencio.</w:t>
      </w:r>
    </w:p>
    <w:p>
      <w:r>
        <w:rPr>
          <w:rFonts w:ascii="Arial" w:hAnsi="Arial"/>
          <w:color w:val="263A43"/>
          <w:sz w:val="20"/>
        </w:rPr>
        <w:t>3. Que indique los documentos, comparecencias, provisión de fondos y datos adicionales necesarios, así como la forma de conocer el resultado y obtener las copias que legalmente correspondan.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 carta es una solicitud de actuación profesional. No sustituye el acta, no constituye comunicación eficaz al llamado a los efectos del artículo 1005, no inicia por sí misma su plazo y no solicita imponer una renuncia o una partición concreta.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[RELACIÓN NUMERADA]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Petición preparatoria para que un notario valore y tramite la comunicación al llamado a una herencia prevista en el Código Civil común.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La carta al notario no inicia los treinta días. En el régimen del artículo 1005 CC, la comunicación notarial válida concede treinta días naturales y advierte que el silencio implica aceptación pura y simple, con el riesgo de responsabilidad correspondiente.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Criterio de uso: Publicable como petición preparatoria a notaría; nunca como requerimiento privado con efectos de aceptación por silencio.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Identificar interés, sucesión y destinatario para solicitar la actuación notarial que permita conocer la decisión del llamado.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es el acta notarial, no requiere directamente al heredero con efectos del artículo 1005 y no fuerza a renunciar ni a repartir.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Compruebe con notario o abogado que resulta aplicable el Código Civil común y que acredita un interés suficiente. No utilice este procedimiento por analogía automática con otros derechos civiles.</w:t>
      </w:r>
    </w:p>
    <w:p>
      <w:r>
        <w:rPr>
          <w:rFonts w:ascii="Arial" w:hAnsi="Arial"/>
          <w:color w:val="263A43"/>
          <w:sz w:val="20"/>
        </w:rPr>
        <w:t>2. Aporte datos de fallecimiento, título, llamamiento e interés, y una localización real del destinatario. Declare lo que desconoce en vez de inventar domicilios o afirmar que nadie ha aceptado.</w:t>
      </w:r>
    </w:p>
    <w:p>
      <w:r>
        <w:rPr>
          <w:rFonts w:ascii="Arial" w:hAnsi="Arial"/>
          <w:color w:val="263A43"/>
          <w:sz w:val="20"/>
        </w:rPr>
        <w:t>3. Pida al notario que compruebe los requisitos, incluido el artículo 1004 CC, que impide intentar la acción antes de transcurrir nueve días desde la muerte. La determinación de la notificación y del cómputo corresponde a la actuación formal.</w:t>
      </w:r>
    </w:p>
    <w:p>
      <w:r>
        <w:rPr>
          <w:rFonts w:ascii="Arial" w:hAnsi="Arial"/>
          <w:color w:val="263A43"/>
          <w:sz w:val="20"/>
        </w:rPr>
        <w:t>4. No envíe al heredero una copia de esta carta pretendiendo que produzca la aceptación por silencio. Si recibe usted la interpelación, consulte de inmediato: la opción de beneficio de inventario exige sus propios requisitos y plazos.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Identificación y representación del solicitante.</w:t>
      </w:r>
    </w:p>
    <w:p>
      <w:r>
        <w:rPr>
          <w:rFonts w:ascii="Arial" w:hAnsi="Arial"/>
          <w:color w:val="263A43"/>
          <w:sz w:val="20"/>
        </w:rPr>
        <w:t>2. Defunción, últimas voluntades y testamento o declaración de herederos.</w:t>
      </w:r>
    </w:p>
    <w:p>
      <w:r>
        <w:rPr>
          <w:rFonts w:ascii="Arial" w:hAnsi="Arial"/>
          <w:color w:val="263A43"/>
          <w:sz w:val="20"/>
        </w:rPr>
        <w:t>3. Documentación del interés legítimo y de la condición del llamado.</w:t>
      </w:r>
    </w:p>
    <w:p>
      <w:r>
        <w:rPr>
          <w:rFonts w:ascii="Arial" w:hAnsi="Arial"/>
          <w:color w:val="263A43"/>
          <w:sz w:val="20"/>
        </w:rPr>
        <w:t>4. Domicilio y datos de localización conocidos; comunicaciones o actos previos relevantes.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Contar treinta días desde el burofax privado o desde el envío a la notaría.</w:t>
      </w:r>
    </w:p>
    <w:p>
      <w:r>
        <w:rPr>
          <w:rFonts w:ascii="Arial" w:hAnsi="Arial"/>
          <w:color w:val="263A43"/>
          <w:sz w:val="20"/>
        </w:rPr>
        <w:t>2. Decir que el silencio es renuncia o aceptación a beneficio de inventario.</w:t>
      </w:r>
    </w:p>
    <w:p>
      <w:r>
        <w:rPr>
          <w:rFonts w:ascii="Arial" w:hAnsi="Arial"/>
          <w:color w:val="263A43"/>
          <w:sz w:val="20"/>
        </w:rPr>
        <w:t>3. Utilizar la interpelación para imponer un reparto concreto.</w:t>
      </w:r>
    </w:p>
    <w:p>
      <w:r>
        <w:rPr>
          <w:rFonts w:ascii="Arial" w:hAnsi="Arial"/>
          <w:color w:val="263A43"/>
          <w:sz w:val="20"/>
        </w:rPr>
        <w:t>4. Confundir la opción comunicada con el cumplimiento del inventario notarial exigible.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Intervención notarial imprescindible para la comunicación del artículo 1005. Abogado recomendable antes de promoverla, y especialmente ante deudas, controversia, transmisiones del derecho de aceptar, menores, apoyos o ley sucesoria dudosa. No se exige procurador para esta petición al notario.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Artículo 1004 CC: deben transcurrir nueve días desde el fallecimiento para intentar la acción. Artículo 1005: treinta días naturales desde la comunicación notarial eficaz, según el cómputo que corresponda; silencio con efecto de aceptación pura y simple. La mera preparación o presentación de esta carta no abre ese plazo. 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Código Civil — https://www.boe.es/buscar/act.php?id=BOE-A-1889-4763 — BOE. Arts. 9.8, 14 y 16: ley sucesoria y vecindad civil; arts. 999, 1003, 1008 y 1011-1018: aceptación, responsabilidad, repudiación e inventario. Verificación: 2026-09-13.</w:t>
      </w:r>
    </w:p>
    <w:p>
      <w:r>
        <w:rPr>
          <w:rFonts w:ascii="Arial" w:hAnsi="Arial"/>
          <w:color w:val="263A43"/>
          <w:sz w:val="20"/>
        </w:rPr>
        <w:t>2. Código Civil — https://www.boe.es/buscar/act.php?id=BOE-A-1889-4763 — BOE. Arts. 1004-1005: espera inicial, comunicación notarial, treinta días naturales y efecto del silencio. Verificación: 2026-09-13.</w:t>
      </w:r>
    </w:p>
    <w:p>
      <w:r>
        <w:rPr>
          <w:rFonts w:ascii="Arial" w:hAnsi="Arial"/>
          <w:color w:val="263A43"/>
          <w:sz w:val="20"/>
        </w:rPr>
        <w:t>3. Reglamento (UE) 650/2012, sucesiones internacionales — https://eur-lex.europa.eu/legal-content/ES/TXT/?uri=CELEX:32012R0650 — EUR-Lex, Unión Europea. Arts. 20-23 y 36: comprobación de la ley aplicable. Verificación: 2026-09-13.</w:t>
      </w:r>
    </w:p>
    <w:p>
      <w:r>
        <w:rPr>
          <w:rFonts w:ascii="Arial" w:hAnsi="Arial"/>
          <w:color w:val="263A43"/>
          <w:sz w:val="20"/>
        </w:rPr>
        <w:t>4. Real Decreto 1629/1991, Reglamento del Impuesto sobre Sucesiones y Donaciones — https://www.boe.es/buscar/act.php?id=BOE-A-1991-27678 — BOE. Arts. 67-68: plazos fiscales independientes.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