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center"/>
      </w:pPr>
      <w:r>
        <w:rPr>
          <w:rFonts w:ascii="Arial" w:hAnsi="Arial"/>
          <w:b/>
          <w:color w:val="397CDD"/>
          <w:sz w:val="16"/>
        </w:rPr>
        <w:t>SOCIEDADES Y COMUNIDADES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Pactos de gestión y gastos entre comuneros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Anexo a una comunidad existente para ordenar decisiones, gastos y rendición de cuentas sin alterar las cuotas de propiedad.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DOCUMENTO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finalidad, destinatario, procedimiento, plazos, hechos, anexos y firmas. Separa la guía antes de firmar o presentar el documento.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Destinatario habitual: Partes firmantes y, cuando corresponda, notaría y Registro Mercantil.</w:t>
            </w:r>
          </w:p>
        </w:tc>
      </w:tr>
    </w:tbl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BORRADOR EDITABLE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DESDE AQUÍ COMIENZA EL TEXTO DEL DOCUMENTO</w:t>
      </w:r>
    </w:p>
    <w:p>
      <w:pPr>
        <w:pStyle w:val="Heading2"/>
      </w:pPr>
      <w:r>
        <w:t>Partes y antecedente</w:t>
      </w:r>
    </w:p>
    <w:p>
      <w:pPr>
        <w:jc w:val="both"/>
      </w:pPr>
      <w:r>
        <w:rPr>
          <w:rFonts w:ascii="Arial" w:hAnsi="Arial"/>
        </w:rPr>
        <w:t xml:space="preserve">Los comuneros </w:t>
      </w:r>
      <w:r>
        <w:rPr>
          <w:rFonts w:ascii="Arial" w:hAnsi="Arial"/>
          <w:b/>
          <w:color w:val="397CDD"/>
          <w:shd w:fill="E5EFFC"/>
        </w:rPr>
        <w:t>[NOMBRES, IDENTIFICACIONES Y CUOTAS]</w:t>
      </w:r>
      <w:r>
        <w:rPr>
          <w:rFonts w:ascii="Arial" w:hAnsi="Arial"/>
        </w:rPr>
        <w:t xml:space="preserve">, de </w:t>
      </w:r>
      <w:r>
        <w:rPr>
          <w:rFonts w:ascii="Arial" w:hAnsi="Arial"/>
          <w:b/>
          <w:color w:val="397CDD"/>
          <w:shd w:fill="E5EFFC"/>
        </w:rPr>
        <w:t>[COMUNIDAD Y BIENES]</w:t>
      </w:r>
      <w:r>
        <w:rPr>
          <w:rFonts w:ascii="Arial" w:hAnsi="Arial"/>
        </w:rPr>
        <w:t xml:space="preserve">, se remiten al título o contrato de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 xml:space="preserve"> y acuerdan este anexo. No se transmiten cuotas ni se novan derechos de terceros.</w:t>
      </w:r>
    </w:p>
    <w:p>
      <w:pPr>
        <w:pStyle w:val="Heading2"/>
      </w:pPr>
      <w:r>
        <w:t>Primera. Presupuesto y gastos</w:t>
      </w:r>
    </w:p>
    <w:p>
      <w:pPr>
        <w:jc w:val="both"/>
      </w:pPr>
      <w:r>
        <w:rPr>
          <w:rFonts w:ascii="Arial" w:hAnsi="Arial"/>
        </w:rPr>
        <w:t xml:space="preserve">El presupuesto para </w:t>
      </w:r>
      <w:r>
        <w:rPr>
          <w:rFonts w:ascii="Arial" w:hAnsi="Arial"/>
          <w:b/>
          <w:color w:val="397CDD"/>
          <w:shd w:fill="E5EFFC"/>
        </w:rPr>
        <w:t>[PERÍODO]</w:t>
      </w:r>
      <w:r>
        <w:rPr>
          <w:rFonts w:ascii="Arial" w:hAnsi="Arial"/>
        </w:rPr>
        <w:t xml:space="preserve"> será de </w:t>
      </w:r>
      <w:r>
        <w:rPr>
          <w:rFonts w:ascii="Arial" w:hAnsi="Arial"/>
          <w:b/>
          <w:color w:val="397CDD"/>
          <w:shd w:fill="E5EFFC"/>
        </w:rPr>
        <w:t>[IMPORTE]</w:t>
      </w:r>
      <w:r>
        <w:rPr>
          <w:rFonts w:ascii="Arial" w:hAnsi="Arial"/>
        </w:rPr>
        <w:t xml:space="preserve"> euros, destinado a </w:t>
      </w:r>
      <w:r>
        <w:rPr>
          <w:rFonts w:ascii="Arial" w:hAnsi="Arial"/>
          <w:b/>
          <w:color w:val="397CDD"/>
          <w:shd w:fill="E5EFFC"/>
        </w:rPr>
        <w:t>[PARTIDAS]</w:t>
      </w:r>
      <w:r>
        <w:rPr>
          <w:rFonts w:ascii="Arial" w:hAnsi="Arial"/>
        </w:rPr>
        <w:t xml:space="preserve">. Cada comunero aportará la parte que corresponda a su cuota en </w:t>
      </w:r>
      <w:r>
        <w:rPr>
          <w:rFonts w:ascii="Arial" w:hAnsi="Arial"/>
          <w:b/>
          <w:color w:val="397CDD"/>
          <w:shd w:fill="E5EFFC"/>
        </w:rPr>
        <w:t>[FECHAS Y MEDIO]</w:t>
      </w:r>
      <w:r>
        <w:rPr>
          <w:rFonts w:ascii="Arial" w:hAnsi="Arial"/>
        </w:rPr>
        <w:t xml:space="preserve">. Todo pago se justificará. Las desviaciones superiores a </w:t>
      </w:r>
      <w:r>
        <w:rPr>
          <w:rFonts w:ascii="Arial" w:hAnsi="Arial"/>
          <w:b/>
          <w:color w:val="397CDD"/>
          <w:shd w:fill="E5EFFC"/>
        </w:rPr>
        <w:t>[IMPORTE]</w:t>
      </w:r>
      <w:r>
        <w:rPr>
          <w:rFonts w:ascii="Arial" w:hAnsi="Arial"/>
        </w:rPr>
        <w:t xml:space="preserve"> requerirán nuevo acuerdo de administración, salvo medidas urgentes indispensables de conservación, que se comunicarán de inmediato.</w:t>
      </w:r>
    </w:p>
    <w:p>
      <w:pPr>
        <w:pStyle w:val="Heading2"/>
      </w:pPr>
      <w:r>
        <w:t>Segunda. Gestor y facultades</w:t>
      </w:r>
    </w:p>
    <w:p>
      <w:pPr>
        <w:jc w:val="both"/>
      </w:pPr>
      <w:r>
        <w:rPr>
          <w:rFonts w:ascii="Arial" w:hAnsi="Arial"/>
        </w:rPr>
        <w:t xml:space="preserve">Se designa a </w:t>
      </w:r>
      <w:r>
        <w:rPr>
          <w:rFonts w:ascii="Arial" w:hAnsi="Arial"/>
          <w:b/>
          <w:color w:val="397CDD"/>
          <w:shd w:fill="E5EFFC"/>
        </w:rPr>
        <w:t>[NOMBRE]</w:t>
      </w:r>
      <w:r>
        <w:rPr>
          <w:rFonts w:ascii="Arial" w:hAnsi="Arial"/>
        </w:rPr>
        <w:t xml:space="preserve"> para ejecutar los acuerdos y efectuar </w:t>
      </w:r>
      <w:r>
        <w:rPr>
          <w:rFonts w:ascii="Arial" w:hAnsi="Arial"/>
          <w:b/>
          <w:color w:val="397CDD"/>
          <w:shd w:fill="E5EFFC"/>
        </w:rPr>
        <w:t>[ACTOS CONCRETOS]</w:t>
      </w:r>
      <w:r>
        <w:rPr>
          <w:rFonts w:ascii="Arial" w:hAnsi="Arial"/>
        </w:rPr>
        <w:t xml:space="preserve"> hasta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 xml:space="preserve">, con rendición de cuentas </w:t>
      </w:r>
      <w:r>
        <w:rPr>
          <w:rFonts w:ascii="Arial" w:hAnsi="Arial"/>
          <w:b/>
          <w:color w:val="397CDD"/>
          <w:shd w:fill="E5EFFC"/>
        </w:rPr>
        <w:t>[PERIODICIDAD]</w:t>
      </w:r>
      <w:r>
        <w:rPr>
          <w:rFonts w:ascii="Arial" w:hAnsi="Arial"/>
        </w:rPr>
        <w:t>. Esta designación no atribuye facultades de disposición, garantía o financiación ni sustituye el poder que se precise frente a terceros.</w:t>
      </w:r>
    </w:p>
    <w:p>
      <w:pPr>
        <w:pStyle w:val="Heading2"/>
      </w:pPr>
      <w:r>
        <w:t>Tercera. Información y decisiones</w:t>
      </w:r>
    </w:p>
    <w:p>
      <w:pPr>
        <w:jc w:val="both"/>
      </w:pPr>
      <w:r>
        <w:rPr>
          <w:rFonts w:ascii="Arial" w:hAnsi="Arial"/>
        </w:rPr>
        <w:t xml:space="preserve">Las propuestas se remitirán a </w:t>
      </w:r>
      <w:r>
        <w:rPr>
          <w:rFonts w:ascii="Arial" w:hAnsi="Arial"/>
          <w:b/>
          <w:color w:val="397CDD"/>
          <w:shd w:fill="E5EFFC"/>
        </w:rPr>
        <w:t>[MEDIOS DE CONTACTO DESIGNADOS]</w:t>
      </w:r>
      <w:r>
        <w:rPr>
          <w:rFonts w:ascii="Arial" w:hAnsi="Arial"/>
        </w:rPr>
        <w:t xml:space="preserve"> con documentación suficiente. Los acuerdos de administración se computarán por cuotas, no por número de personas. Las alteraciones requerirán consentimiento de todos. El silencio no equivaldrá a voto favorable.</w:t>
      </w:r>
    </w:p>
    <w:p>
      <w:pPr>
        <w:jc w:val="both"/>
      </w:pPr>
      <w:r>
        <w:rPr>
          <w:rFonts w:ascii="Arial" w:hAnsi="Arial"/>
        </w:rPr>
        <w:t>Cada acuerdo identificará la propuesta, las cuotas a favor y en contra y su fecha. Todos tendrán acceso a acuerdos, facturas y extractos de la gestión común.</w:t>
      </w:r>
    </w:p>
    <w:p>
      <w:pPr>
        <w:pStyle w:val="Heading2"/>
      </w:pPr>
      <w:r>
        <w:t>Cuarta. Desacuerdos y salida</w:t>
      </w:r>
    </w:p>
    <w:p>
      <w:pPr>
        <w:jc w:val="both"/>
      </w:pPr>
      <w:r>
        <w:rPr>
          <w:rFonts w:ascii="Arial" w:hAnsi="Arial"/>
        </w:rPr>
        <w:t>Un desacuerdo se comunicará indicando la medida solicitada. Las partes podrán intentar una solución negociada sin privarse de acciones urgentes, del derecho a pedir división ni de los mecanismos del artículo 398 del Código Civil. No se suspende ningún plazo por esta cláusula.</w:t>
      </w:r>
    </w:p>
    <w:p>
      <w:pPr>
        <w:jc w:val="both"/>
      </w:pPr>
      <w:r>
        <w:rPr>
          <w:rFonts w:ascii="Arial" w:hAnsi="Arial"/>
        </w:rPr>
        <w:t>La salida se documentará atendiendo al título, las cuotas, las cargas y los derechos de terceros. No se establece una penalización automática ni una obligación de vender por precio nominal.</w:t>
      </w:r>
    </w:p>
    <w:p>
      <w:pPr>
        <w:pStyle w:val="Heading2"/>
      </w:pPr>
      <w:r>
        <w:t>Quinta. Conservación del título</w:t>
      </w:r>
    </w:p>
    <w:p>
      <w:pPr>
        <w:jc w:val="both"/>
      </w:pPr>
      <w:r>
        <w:rPr>
          <w:rFonts w:ascii="Arial" w:hAnsi="Arial"/>
        </w:rPr>
        <w:t xml:space="preserve">En lo no modificado expresamente sigue vigente el título de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>, siempre que no se oponga a normas imperativas. Cualquier transmisión o cambio de cuota necesitará un acuerdo distinto con la forma y obligaciones que correspondan.</w:t>
      </w:r>
    </w:p>
    <w:p>
      <w:pPr>
        <w:pStyle w:val="Heading2"/>
      </w:pPr>
      <w:r>
        <w:t>Lugar, fecha y firmas</w:t>
      </w:r>
    </w:p>
    <w:p>
      <w:pPr>
        <w:keepNext/>
        <w:jc w:val="both"/>
      </w:pPr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[LOCALIDAD]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>.</w:t>
      </w:r>
    </w:p>
    <w:p>
      <w:pPr>
        <w:keepNext w:val="0"/>
        <w:keepLines/>
        <w:jc w:val="both"/>
      </w:pPr>
      <w:r>
        <w:rPr>
          <w:rFonts w:ascii="Arial" w:hAnsi="Arial"/>
        </w:rPr>
        <w:t xml:space="preserve">Firma de cada interviniente: </w:t>
      </w:r>
      <w:r>
        <w:rPr>
          <w:rFonts w:ascii="Arial" w:hAnsi="Arial"/>
          <w:b/>
          <w:color w:val="397CDD"/>
          <w:shd w:fill="E5EFFC"/>
        </w:rPr>
        <w:t>[NOMBRE, CONDICIÓN Y FIRMA]</w:t>
      </w:r>
      <w:r>
        <w:rPr>
          <w:rFonts w:ascii="Arial" w:hAnsi="Arial"/>
        </w:rPr>
        <w:t>.</w:t>
      </w:r>
    </w:p>
    <w:p>
      <w:pPr>
        <w:keepNext/>
        <w:spacing w:before="160" w:after="160"/>
        <w:jc w:val="center"/>
        <w:pageBreakBefore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Guía de uso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Documentación y preparación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Contrato o título vigente y cuotas actuales.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Presupuesto, gestor, límites de gasto y contactos.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Firma de todos los afectados por el anexo.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No es un contrato inicial ni modifica por sí solo la propiedad.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No permite que una mayoría acuerde alteraciones que requieran unanimidad ni comprometa a terceros sin representación válida.</w:t>
            </w:r>
          </w:p>
        </w:tc>
      </w:tr>
    </w:tbl>
    <w:p>
      <w:pPr>
        <w:pStyle w:val="Heading1"/>
      </w:pPr>
      <w:r>
        <w:t>Fuentes oficiales</w:t>
      </w:r>
    </w:p>
    <w:p>
      <w:pPr>
        <w:jc w:val="both"/>
      </w:pPr>
      <w:hyperlink r:id="rId11">
        <w:r>
          <w:t>Código Civil, comunidad de bienes</w:t>
        </w:r>
      </w:hyperlink>
    </w:p>
    <w:p>
      <w:pPr>
        <w:spacing w:before="120"/>
      </w:pPr>
      <w:r>
        <w:rPr>
          <w:i/>
          <w:color w:val="667085"/>
          <w:sz w:val="16"/>
        </w:rPr>
        <w:t>Revisado el 2026-09-06. Información jurídica general. Comprueba la normativa y el procedimiento vigentes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both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889-47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