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00" w:after="40"/>
        <w:jc w:val="center"/>
      </w:pPr>
      <w:r>
        <w:rPr>
          <w:rFonts w:ascii="Arial" w:hAnsi="Arial"/>
          <w:b/>
          <w:color w:val="397CDD"/>
          <w:sz w:val="16"/>
        </w:rPr>
        <w:t>SOCIEDADES Y COMUNIDADES</w:t>
      </w:r>
    </w:p>
    <w:p>
      <w:pPr>
        <w:keepNext/>
        <w:spacing w:after="120"/>
        <w:jc w:val="center"/>
      </w:pPr>
      <w:r>
        <w:rPr>
          <w:rFonts w:ascii="Georgia" w:hAnsi="Georgia"/>
          <w:b/>
          <w:color w:val="17233C"/>
          <w:sz w:val="42"/>
        </w:rPr>
        <w:t>Pacto básico de organización entre socios de SL</w:t>
      </w:r>
    </w:p>
    <w:p>
      <w:pPr>
        <w:spacing w:after="240"/>
        <w:jc w:val="center"/>
      </w:pPr>
      <w:r>
        <w:rPr>
          <w:rFonts w:ascii="Arial" w:hAnsi="Arial"/>
          <w:color w:val="667085"/>
          <w:sz w:val="21"/>
        </w:rPr>
        <w:t>Acuerdo interno sobre dedicación, información y decisiones coordinadas, sin sustituir estatutos ni incorporar cláusulas de inversión complejas.</w:t>
      </w:r>
    </w:p>
    <w:tbl>
      <w:tblPr>
        <w:tblW w:type="dxa" w:w="9533"/>
        <w:tblLayout w:type="fixed"/>
        <w:tblLook w:firstColumn="1" w:firstRow="1" w:lastColumn="0" w:lastRow="0" w:noHBand="0" w:noVBand="1" w:val="04A0"/>
        <w:tblInd w:w="0" w:type="dxa"/>
      </w:tblPr>
      <w:tblGrid>
        <w:gridCol w:w="9533"/>
      </w:tblGrid>
      <w:tr>
        <w:tc>
          <w:tcPr>
            <w:tcW w:type="dxa" w:w="9533"/>
            <w:shd w:fill="F5F0E8"/>
            <w:tcMar>
              <w:top w:w="135" w:type="dxa"/>
              <w:start w:w="170" w:type="dxa"/>
              <w:bottom w:w="135" w:type="dxa"/>
              <w:end w:w="170" w:type="dxa"/>
            </w:tcMar>
            <w:vAlign w:val="center"/>
          </w:tcPr>
          <w:p>
            <w:pPr>
              <w:spacing w:after="80"/>
            </w:pPr>
            <w:r>
              <w:rPr>
                <w:rFonts w:ascii="Arial" w:hAnsi="Arial"/>
                <w:b/>
                <w:color w:val="17233C"/>
                <w:sz w:val="21"/>
              </w:rPr>
              <w:t>GUÍA DE USO · NO FORMA PARTE DEL DOCUMENTO</w:t>
            </w:r>
          </w:p>
          <w:p>
            <w:pPr>
              <w:spacing w:after="40"/>
            </w:pPr>
            <w:r>
              <w:rPr>
                <w:rFonts w:ascii="Arial" w:hAnsi="Arial"/>
              </w:rPr>
              <w:t>Documento editable y orientativo. Sustituye todos los campos azules y elimina las alternativas que no correspondan.</w:t>
            </w:r>
          </w:p>
          <w:p>
            <w:pPr>
              <w:spacing w:after="40"/>
            </w:pPr>
            <w:r>
              <w:rPr>
                <w:rFonts w:ascii="Arial" w:hAnsi="Arial"/>
              </w:rPr>
              <w:t>Comprueba finalidad, destinatario, procedimiento, plazos, hechos, anexos y firmas. Separa la guía antes de firmar o presentar el documento.</w:t>
            </w:r>
          </w:p>
          <w:p>
            <w:pPr>
              <w:spacing w:after="40"/>
            </w:pPr>
            <w:r>
              <w:rPr>
                <w:rFonts w:ascii="Arial" w:hAnsi="Arial"/>
              </w:rPr>
              <w:t>Destinatario habitual: Partes firmantes y, cuando corresponda, notaría y Registro Mercantil.</w:t>
            </w:r>
          </w:p>
        </w:tc>
      </w:tr>
    </w:tbl>
    <w:p>
      <w:pPr>
        <w:keepNext/>
        <w:spacing w:before="160" w:after="160"/>
        <w:jc w:val="center"/>
        <w:pBdr>
          <w:bottom w:val="single" w:sz="10" w:space="5" w:color="D7A46D"/>
        </w:pBdr>
      </w:pPr>
      <w:r>
        <w:rPr>
          <w:rFonts w:ascii="Georgia" w:hAnsi="Georgia"/>
          <w:b/>
          <w:color w:val="17233C"/>
          <w:sz w:val="31"/>
        </w:rPr>
        <w:t>BORRADOR EDITABLE</w:t>
      </w:r>
    </w:p>
    <w:p>
      <w:pPr>
        <w:spacing w:after="240"/>
        <w:jc w:val="center"/>
      </w:pPr>
      <w:r>
        <w:rPr>
          <w:rFonts w:ascii="Arial" w:hAnsi="Arial"/>
          <w:b/>
          <w:color w:val="667085"/>
          <w:sz w:val="16"/>
        </w:rPr>
        <w:t>DESDE AQUÍ COMIENZA EL TEXTO DEL DOCUMENTO</w:t>
      </w:r>
    </w:p>
    <w:p>
      <w:pPr>
        <w:pStyle w:val="Heading2"/>
      </w:pPr>
      <w:r>
        <w:t>Partes y sociedad</w:t>
      </w:r>
    </w:p>
    <w:p>
      <w:pPr>
        <w:jc w:val="both"/>
      </w:pPr>
      <w:r>
        <w:rPr>
          <w:rFonts w:ascii="Arial" w:hAnsi="Arial"/>
          <w:b/>
          <w:color w:val="397CDD"/>
          <w:shd w:fill="E5EFFC"/>
        </w:rPr>
        <w:t>[NOMBRES, IDENTIFICACIONES Y DOMICILIOS]</w:t>
      </w:r>
      <w:r>
        <w:rPr>
          <w:rFonts w:ascii="Arial" w:hAnsi="Arial"/>
        </w:rPr>
        <w:t xml:space="preserve"> son socios de </w:t>
      </w:r>
      <w:r>
        <w:rPr>
          <w:rFonts w:ascii="Arial" w:hAnsi="Arial"/>
          <w:b/>
          <w:color w:val="397CDD"/>
          <w:shd w:fill="E5EFFC"/>
        </w:rPr>
        <w:t>[SOCIEDAD Y NIF]</w:t>
      </w:r>
      <w:r>
        <w:rPr>
          <w:rFonts w:ascii="Arial" w:hAnsi="Arial"/>
        </w:rPr>
        <w:t xml:space="preserve">, con </w:t>
      </w:r>
      <w:r>
        <w:rPr>
          <w:rFonts w:ascii="Arial" w:hAnsi="Arial"/>
          <w:b/>
          <w:color w:val="397CDD"/>
          <w:shd w:fill="E5EFFC"/>
        </w:rPr>
        <w:t>[PARTICIPACIONES Y PORCENTAJES]</w:t>
      </w:r>
      <w:r>
        <w:rPr>
          <w:rFonts w:ascii="Arial" w:hAnsi="Arial"/>
        </w:rPr>
        <w:t>. Se vinculan personalmente por este pacto, sin presentarlo como modificación de los estatutos ni como acuerdo del órgano social.</w:t>
      </w:r>
    </w:p>
    <w:p>
      <w:pPr>
        <w:pStyle w:val="Heading2"/>
      </w:pPr>
      <w:r>
        <w:t>Primera. Aportaciones y tareas</w:t>
      </w:r>
    </w:p>
    <w:p>
      <w:pPr>
        <w:jc w:val="both"/>
      </w:pPr>
      <w:r>
        <w:rPr>
          <w:rFonts w:ascii="Arial" w:hAnsi="Arial"/>
        </w:rPr>
        <w:t xml:space="preserve">Las aportaciones al capital son las documentadas en los títulos sociales. Las tareas previstas son </w:t>
      </w:r>
      <w:r>
        <w:rPr>
          <w:rFonts w:ascii="Arial" w:hAnsi="Arial"/>
          <w:b/>
          <w:color w:val="397CDD"/>
          <w:shd w:fill="E5EFFC"/>
        </w:rPr>
        <w:t>[SOCIO, TAREA, DEDICACIÓN Y MEDIO DE SEGUIMIENTO]</w:t>
      </w:r>
      <w:r>
        <w:rPr>
          <w:rFonts w:ascii="Arial" w:hAnsi="Arial"/>
        </w:rPr>
        <w:t>. Este pacto no fija por sí solo salario, relación laboral, retribución del cargo ni prestación accesoria estatutaria; las relaciones que lo requieran se documentarán separadamente.</w:t>
      </w:r>
    </w:p>
    <w:p>
      <w:pPr>
        <w:pStyle w:val="Heading2"/>
      </w:pPr>
      <w:r>
        <w:t>Segunda. Coordinación e información</w:t>
      </w:r>
    </w:p>
    <w:p>
      <w:pPr>
        <w:jc w:val="both"/>
      </w:pPr>
      <w:r>
        <w:rPr>
          <w:rFonts w:ascii="Arial" w:hAnsi="Arial"/>
        </w:rPr>
        <w:t xml:space="preserve">Los firmantes celebrarán una reunión de seguimiento </w:t>
      </w:r>
      <w:r>
        <w:rPr>
          <w:rFonts w:ascii="Arial" w:hAnsi="Arial"/>
          <w:b/>
          <w:color w:val="397CDD"/>
          <w:shd w:fill="E5EFFC"/>
        </w:rPr>
        <w:t>[PERIODICIDAD]</w:t>
      </w:r>
      <w:r>
        <w:rPr>
          <w:rFonts w:ascii="Arial" w:hAnsi="Arial"/>
        </w:rPr>
        <w:t xml:space="preserve"> sobre presupuesto, actividad y necesidades de financiación. Compartirán la información que legítimamente puedan facilitar, respetando la normativa, los deberes de administradores y los derechos de la sociedad y terceros.</w:t>
      </w:r>
    </w:p>
    <w:p>
      <w:pPr>
        <w:jc w:val="both"/>
      </w:pPr>
      <w:r>
        <w:rPr>
          <w:rFonts w:ascii="Arial" w:hAnsi="Arial"/>
        </w:rPr>
        <w:t xml:space="preserve">Antes de proponer </w:t>
      </w:r>
      <w:r>
        <w:rPr>
          <w:rFonts w:ascii="Arial" w:hAnsi="Arial"/>
          <w:b/>
          <w:color w:val="397CDD"/>
          <w:shd w:fill="E5EFFC"/>
        </w:rPr>
        <w:t>[MATERIAS CONCRETAS]</w:t>
      </w:r>
      <w:r>
        <w:rPr>
          <w:rFonts w:ascii="Arial" w:hAnsi="Arial"/>
        </w:rPr>
        <w:t xml:space="preserve"> se intentará acordar una posición común. La decisión corporativa corresponderá al órgano competente con las mayorías legales y estatutarias. Ningún compromiso obliga a votar contra la ley o el interés social.</w:t>
      </w:r>
    </w:p>
    <w:p>
      <w:pPr>
        <w:pStyle w:val="Heading2"/>
      </w:pPr>
      <w:r>
        <w:t>Tercera. Confidencialidad</w:t>
      </w:r>
    </w:p>
    <w:p>
      <w:pPr>
        <w:jc w:val="both"/>
      </w:pPr>
      <w:r>
        <w:rPr>
          <w:rFonts w:ascii="Arial" w:hAnsi="Arial"/>
        </w:rPr>
        <w:t>Se mantendrá reservada la información no pública recibida por razón de esta relación y se utilizará para su finalidad. Se exceptúan las comunicaciones legalmente exigidas, el asesoramiento sujeto a confidencialidad y la defensa de derechos. No se impide el ejercicio de derechos de información ni las comunicaciones protegidas por la ley.</w:t>
      </w:r>
    </w:p>
    <w:p>
      <w:pPr>
        <w:pStyle w:val="Heading2"/>
      </w:pPr>
      <w:r>
        <w:t>Cuarta. Financiación y salida</w:t>
      </w:r>
    </w:p>
    <w:p>
      <w:pPr>
        <w:jc w:val="both"/>
      </w:pPr>
      <w:r>
        <w:rPr>
          <w:rFonts w:ascii="Arial" w:hAnsi="Arial"/>
        </w:rPr>
        <w:t>No existe obligación automática de aportar más capital, prestar dinero o avalar. Cada operación exigirá acuerdo separado y los actos societarios necesarios. Las transmisiones se someterán a la ley y estatutos; este pacto no incorpora arrastre, acompañamiento, adquisición forzosa ni sanción de pérdida de participaciones.</w:t>
      </w:r>
    </w:p>
    <w:p>
      <w:pPr>
        <w:pStyle w:val="Heading2"/>
      </w:pPr>
      <w:r>
        <w:t>Quinta. Incumplimientos y discrepancias</w:t>
      </w:r>
    </w:p>
    <w:p>
      <w:pPr>
        <w:jc w:val="both"/>
      </w:pPr>
      <w:r>
        <w:rPr>
          <w:rFonts w:ascii="Arial" w:hAnsi="Arial"/>
        </w:rPr>
        <w:t xml:space="preserve">La parte que aprecie incumplimiento lo comunicará con hechos y petición de corrección, concediendo </w:t>
      </w:r>
      <w:r>
        <w:rPr>
          <w:rFonts w:ascii="Arial" w:hAnsi="Arial"/>
          <w:b/>
          <w:color w:val="397CDD"/>
          <w:shd w:fill="E5EFFC"/>
        </w:rPr>
        <w:t>[PLAZO RAZONABLE]</w:t>
      </w:r>
      <w:r>
        <w:rPr>
          <w:rFonts w:ascii="Arial" w:hAnsi="Arial"/>
        </w:rPr>
        <w:t xml:space="preserve"> cuando sea subsanable. Se intentará una solución negociada, sin impedir medidas urgentes ni alterar plazos legales. Las consecuencias se regirán por las reglas generales de cumplimiento y responsabilidad; no se establece pena automática.</w:t>
      </w:r>
    </w:p>
    <w:p>
      <w:pPr>
        <w:pStyle w:val="Heading2"/>
      </w:pPr>
      <w:r>
        <w:t>Sexta. Vigencia y alcance</w:t>
      </w:r>
    </w:p>
    <w:p>
      <w:pPr>
        <w:jc w:val="both"/>
      </w:pPr>
      <w:r>
        <w:rPr>
          <w:rFonts w:ascii="Arial" w:hAnsi="Arial"/>
        </w:rPr>
        <w:t>El pacto surtirá efectos desde su firma mientras el firmante conserve su condición de socio, subsistiendo la confidencialidad de la información que siga siendo reservada. Su modificación exigirá acuerdo escrito de los firmantes afectados. No vinculará automáticamente a futuros adquirentes, a la sociedad ni a terceros.</w:t>
      </w:r>
    </w:p>
    <w:p>
      <w:pPr>
        <w:pStyle w:val="Heading2"/>
      </w:pPr>
      <w:r>
        <w:t>Lugar, fecha y firmas</w:t>
      </w:r>
    </w:p>
    <w:p>
      <w:pPr>
        <w:keepNext/>
        <w:jc w:val="both"/>
      </w:pPr>
      <w:r>
        <w:rPr>
          <w:rFonts w:ascii="Arial" w:hAnsi="Arial"/>
        </w:rPr>
        <w:t xml:space="preserve">En </w:t>
      </w:r>
      <w:r>
        <w:rPr>
          <w:rFonts w:ascii="Arial" w:hAnsi="Arial"/>
          <w:b/>
          <w:color w:val="397CDD"/>
          <w:shd w:fill="E5EFFC"/>
        </w:rPr>
        <w:t>[LOCALIDAD]</w:t>
      </w:r>
      <w:r>
        <w:rPr>
          <w:rFonts w:ascii="Arial" w:hAnsi="Arial"/>
        </w:rPr>
        <w:t xml:space="preserve">, a </w:t>
      </w:r>
      <w:r>
        <w:rPr>
          <w:rFonts w:ascii="Arial" w:hAnsi="Arial"/>
          <w:b/>
          <w:color w:val="397CDD"/>
          <w:shd w:fill="E5EFFC"/>
        </w:rPr>
        <w:t>[FECHA]</w:t>
      </w:r>
      <w:r>
        <w:rPr>
          <w:rFonts w:ascii="Arial" w:hAnsi="Arial"/>
        </w:rPr>
        <w:t>.</w:t>
      </w:r>
    </w:p>
    <w:p>
      <w:pPr>
        <w:keepNext w:val="0"/>
        <w:keepLines/>
        <w:jc w:val="both"/>
      </w:pPr>
      <w:r>
        <w:rPr>
          <w:rFonts w:ascii="Arial" w:hAnsi="Arial"/>
        </w:rPr>
        <w:t xml:space="preserve">Firma de cada interviniente: </w:t>
      </w:r>
      <w:r>
        <w:rPr>
          <w:rFonts w:ascii="Arial" w:hAnsi="Arial"/>
          <w:b/>
          <w:color w:val="397CDD"/>
          <w:shd w:fill="E5EFFC"/>
        </w:rPr>
        <w:t>[NOMBRE, CONDICIÓN Y FIRMA]</w:t>
      </w:r>
      <w:r>
        <w:rPr>
          <w:rFonts w:ascii="Arial" w:hAnsi="Arial"/>
        </w:rPr>
        <w:t>.</w:t>
      </w:r>
    </w:p>
    <w:p>
      <w:pPr>
        <w:keepNext/>
        <w:spacing w:before="160" w:after="160"/>
        <w:jc w:val="center"/>
        <w:pageBreakBefore/>
        <w:pBdr>
          <w:bottom w:val="single" w:sz="10" w:space="5" w:color="D7A46D"/>
        </w:pBdr>
      </w:pPr>
      <w:r>
        <w:rPr>
          <w:rFonts w:ascii="Georgia" w:hAnsi="Georgia"/>
          <w:b/>
          <w:color w:val="17233C"/>
          <w:sz w:val="31"/>
        </w:rPr>
        <w:t>Guía de uso</w:t>
      </w:r>
    </w:p>
    <w:p>
      <w:pPr>
        <w:spacing w:after="240"/>
        <w:jc w:val="center"/>
      </w:pPr>
      <w:r>
        <w:rPr>
          <w:rFonts w:ascii="Arial" w:hAnsi="Arial"/>
          <w:b/>
          <w:color w:val="667085"/>
          <w:sz w:val="16"/>
        </w:rPr>
        <w:t>MATERIAL DE APOYO · ELIMINA ESTA PARTE ANTES DE FIRMAR O PRESENTAR</w:t>
      </w:r>
    </w:p>
    <w:p>
      <w:pPr>
        <w:pStyle w:val="Heading1"/>
      </w:pPr>
      <w:r>
        <w:t>Documentación y preparación</w:t>
      </w:r>
    </w:p>
    <w:p>
      <w:pPr>
        <w:pStyle w:val="ListBullet"/>
        <w:spacing w:after="70"/>
        <w:ind w:left="490" w:hanging="230"/>
      </w:pPr>
      <w:r>
        <w:rPr>
          <w:rFonts w:ascii="Arial" w:hAnsi="Arial"/>
        </w:rPr>
        <w:t>Estatutos vigentes y distribución del capital.</w:t>
      </w:r>
    </w:p>
    <w:p>
      <w:pPr>
        <w:pStyle w:val="ListBullet"/>
        <w:spacing w:after="70"/>
        <w:ind w:left="490" w:hanging="230"/>
      </w:pPr>
      <w:r>
        <w:rPr>
          <w:rFonts w:ascii="Arial" w:hAnsi="Arial"/>
        </w:rPr>
        <w:t>Tareas realistas, información disponible y materias de coordinación.</w:t>
      </w:r>
    </w:p>
    <w:p>
      <w:pPr>
        <w:pStyle w:val="ListBullet"/>
        <w:spacing w:after="70"/>
        <w:ind w:left="490" w:hanging="230"/>
      </w:pPr>
      <w:r>
        <w:rPr>
          <w:rFonts w:ascii="Arial" w:hAnsi="Arial"/>
        </w:rPr>
        <w:t>Revisar incompatibilidades de los compromisos con deberes legales y otros contratos.</w:t>
      </w:r>
    </w:p>
    <w:tbl>
      <w:tblPr>
        <w:tblW w:type="dxa" w:w="9533"/>
        <w:tblLayout w:type="fixed"/>
        <w:tblLook w:firstColumn="1" w:firstRow="1" w:lastColumn="0" w:lastRow="0" w:noHBand="0" w:noVBand="1" w:val="04A0"/>
        <w:tblInd w:w="0" w:type="dxa"/>
      </w:tblPr>
      <w:tblGrid>
        <w:gridCol w:w="9533"/>
      </w:tblGrid>
      <w:tr>
        <w:tc>
          <w:tcPr>
            <w:tcW w:type="dxa" w:w="9533"/>
            <w:shd w:fill="EFF4FC"/>
            <w:tcMar>
              <w:top w:w="135" w:type="dxa"/>
              <w:start w:w="170" w:type="dxa"/>
              <w:bottom w:w="135" w:type="dxa"/>
              <w:end w:w="170" w:type="dxa"/>
            </w:tcMar>
            <w:vAlign w:val="center"/>
          </w:tcPr>
          <w:p>
            <w:pPr>
              <w:spacing w:after="80"/>
            </w:pPr>
            <w:r>
              <w:rPr>
                <w:rFonts w:ascii="Arial" w:hAnsi="Arial"/>
                <w:b/>
                <w:color w:val="17233C"/>
                <w:sz w:val="21"/>
              </w:rPr>
              <w:t>Puntos que requieren especial atención</w:t>
            </w:r>
          </w:p>
          <w:p>
            <w:pPr>
              <w:spacing w:after="40"/>
            </w:pPr>
            <w:r>
              <w:rPr>
                <w:rFonts w:ascii="Arial" w:hAnsi="Arial"/>
              </w:rPr>
              <w:t>Un pacto reservado no es oponible a la sociedad por el mero hecho de firmarlo entre socios, conforme al artículo 29 LSC. Si se pretende eficacia societaria hay que examinar los estatutos y los acuerdos necesarios.</w:t>
            </w:r>
          </w:p>
          <w:p>
            <w:pPr>
              <w:spacing w:after="40"/>
            </w:pPr>
            <w:r>
              <w:rPr>
                <w:rFonts w:ascii="Arial" w:hAnsi="Arial"/>
              </w:rPr>
              <w:t>No es un pacto completo para inversión, startups o conflictos. No incorpora vesting, no competencia, arrastre, acompañamiento, bloqueo, valoración de salida ni cláusulas penales.</w:t>
            </w:r>
          </w:p>
        </w:tc>
      </w:tr>
    </w:tbl>
    <w:p>
      <w:pPr>
        <w:pStyle w:val="Heading1"/>
      </w:pPr>
      <w:r>
        <w:t>Fuentes oficiales</w:t>
      </w:r>
    </w:p>
    <w:p>
      <w:pPr>
        <w:jc w:val="both"/>
      </w:pPr>
      <w:hyperlink r:id="rId11">
        <w:r>
          <w:t>Ley de Sociedades de Capital, artículos 28 y 29</w:t>
        </w:r>
      </w:hyperlink>
    </w:p>
    <w:p>
      <w:pPr>
        <w:jc w:val="both"/>
      </w:pPr>
      <w:hyperlink r:id="rId12">
        <w:r>
          <w:t>Código Civil, obligaciones y contratos</w:t>
        </w:r>
      </w:hyperlink>
    </w:p>
    <w:p>
      <w:pPr>
        <w:spacing w:before="120"/>
      </w:pPr>
      <w:r>
        <w:rPr>
          <w:i/>
          <w:color w:val="667085"/>
          <w:sz w:val="16"/>
        </w:rPr>
        <w:t>Revisado el 2026-09-06. Información jurídica general. Comprueba la normativa y el procedimiento vigentes en la fecha de uso.</w:t>
      </w:r>
    </w:p>
    <w:sectPr w:rsidR="00FC693F" w:rsidRPr="0006063C" w:rsidSect="00034616">
      <w:headerReference w:type="default" r:id="rId9"/>
      <w:footerReference w:type="default" r:id="rId10"/>
      <w:pgSz w:w="11909" w:h="16834"/>
      <w:pgMar w:top="1123" w:right="1181" w:bottom="1037" w:left="1181" w:header="432" w:footer="403"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rFonts w:ascii="Arial" w:hAnsi="Arial"/>
        <w:color w:val="68777D"/>
        <w:sz w:val="14"/>
      </w:rPr>
      <w:t xml:space="preserve">Modelo orientativo · Revisión profesional según el caso · perezburgosabogados.es   </w:t>
    </w:r>
    <w:r>
      <w:rPr>
        <w:rFonts w:ascii="Arial" w:hAnsi="Arial"/>
        <w:color w:val="68777D"/>
        <w:sz w:val="15"/>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center"/>
    </w:pPr>
    <w:r>
      <w:rPr>
        <w:rFonts w:ascii="Georgia" w:hAnsi="Georgia"/>
        <w:b/>
        <w:color w:val="102E3C"/>
        <w:sz w:val="18"/>
      </w:rPr>
      <w:t>PÉREZ &amp; BURGOS</w:t>
    </w:r>
    <w:r>
      <w:rPr>
        <w:rFonts w:ascii="Arial" w:hAnsi="Arial"/>
        <w:b/>
        <w:color w:val="397CDD"/>
        <w:sz w:val="15"/>
      </w:rPr>
      <w:t xml:space="preserve">  ·  MODELOS JURÍDICOS</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jc w:val="both"/>
    </w:pPr>
    <w:rPr>
      <w:rFonts w:ascii="Arial" w:hAnsi="Arial"/>
      <w:color w:val="263A43"/>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Georgia" w:hAnsi="Georgia"/>
      <w:b/>
      <w:bCs/>
      <w:color w:val="102E3C"/>
      <w:sz w:val="31"/>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Georgia" w:hAnsi="Georgia"/>
      <w:b/>
      <w:bCs/>
      <w:color w:val="102E3C"/>
      <w:sz w:val="25"/>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Georgia" w:hAnsi="Georgia"/>
      <w:b/>
      <w:bCs/>
      <w:color w:val="102E3C"/>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80"/>
      <w:contextualSpacing/>
    </w:pPr>
    <w:rPr>
      <w:rFonts w:asciiTheme="majorHAnsi" w:eastAsiaTheme="majorEastAsia" w:hAnsiTheme="majorHAnsi" w:cstheme="majorBidi" w:ascii="Georgia" w:hAnsi="Georgia"/>
      <w:b/>
      <w:color w:val="102E3C"/>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boe.es/buscar/act.php?id=BOE-A-2010-10544" TargetMode="External"/><Relationship Id="rId12" Type="http://schemas.openxmlformats.org/officeDocument/2006/relationships/hyperlink" Target="https://www.boe.es/buscar/act.php?id=BOE-A-1889-476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Modelo jurídico editable de Pérez &amp; Burgos Abogados</dc:description>
  <cp:lastModifiedBy/>
  <cp:revision>1</cp:revision>
  <dcterms:created xsi:type="dcterms:W3CDTF">2013-12-23T23:15:00Z</dcterms:created>
  <dcterms:modified xsi:type="dcterms:W3CDTF">2013-12-23T23:15:00Z</dcterms:modified>
  <cp:category/>
</cp:coreProperties>
</file>