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Relación de viajes y ausencias para residencia o nacionalidad</w:t>
      </w:r>
    </w:p>
    <w:p>
      <w:pPr/>
      <w:r>
        <w:t>Ordenar fechas, destino, motivo y prueba de cada viaje sin declarar automáticamente cumplida la continuidad legal.</w:t>
      </w:r>
    </w:p>
    <w:p>
      <w:pPr/>
      <w:r>
        <w:t>Anexo factual de preparación que puede adaptarse al expediente</w:t>
      </w:r>
    </w:p>
    <w:p>
      <w:pPr>
        <w:pStyle w:val="Heading2"/>
      </w:pPr>
      <w:r>
        <w:t>Periodo y finalidad</w:t>
      </w:r>
    </w:p>
    <w:p>
      <w:pPr/>
      <w:r>
        <w:t xml:space="preserve">Persona </w:t>
      </w:r>
      <w:r>
        <w:rPr>
          <w:b/>
          <w:color w:val="2F80ED"/>
          <w:shd w:val="clear" w:fill="EAF1FB"/>
        </w:rPr>
        <w:t>[NOMBRE Y DOCUMENTO]</w:t>
      </w:r>
      <w:r>
        <w:t xml:space="preserve">. Procedimiento </w:t>
      </w:r>
      <w:r>
        <w:rPr>
          <w:b/>
          <w:color w:val="2F80ED"/>
          <w:shd w:val="clear" w:fill="EAF1FB"/>
        </w:rPr>
        <w:t>[TIPO EXACTO]</w:t>
      </w:r>
      <w:r>
        <w:t xml:space="preserve">. Periodo que se examina </w:t>
      </w:r>
      <w:r>
        <w:rPr>
          <w:b/>
          <w:color w:val="2F80ED"/>
          <w:shd w:val="clear" w:fill="EAF1FB"/>
        </w:rPr>
        <w:t>[DESDE Y HASTA]</w:t>
      </w:r>
      <w:r>
        <w:t xml:space="preserve">. Autorizaciones y fechas de efectos </w:t>
      </w:r>
      <w:r>
        <w:rPr>
          <w:b/>
          <w:color w:val="2F80ED"/>
          <w:shd w:val="clear" w:fill="EAF1FB"/>
        </w:rPr>
        <w:t>[REFERENCIAS]</w:t>
      </w:r>
      <w:r>
        <w:t>.</w:t>
      </w:r>
    </w:p>
    <w:p>
      <w:pPr>
        <w:pStyle w:val="Heading2"/>
      </w:pPr>
      <w:r>
        <w:t>Viajes</w:t>
      </w:r>
    </w:p>
    <w:p>
      <w:pPr/>
      <w:r>
        <w:t xml:space="preserve">Viaje primero. Salida de España </w:t>
      </w:r>
      <w:r>
        <w:rPr>
          <w:b/>
          <w:color w:val="2F80ED"/>
          <w:shd w:val="clear" w:fill="EAF1FB"/>
        </w:rPr>
        <w:t>[FECHA]</w:t>
      </w:r>
      <w:r>
        <w:t xml:space="preserve">. Regreso a España </w:t>
      </w:r>
      <w:r>
        <w:rPr>
          <w:b/>
          <w:color w:val="2F80ED"/>
          <w:shd w:val="clear" w:fill="EAF1FB"/>
        </w:rPr>
        <w:t>[FECHA]</w:t>
      </w:r>
      <w:r>
        <w:t xml:space="preserve">. Países </w:t>
      </w:r>
      <w:r>
        <w:rPr>
          <w:b/>
          <w:color w:val="2F80ED"/>
          <w:shd w:val="clear" w:fill="EAF1FB"/>
        </w:rPr>
        <w:t>[DATOS]</w:t>
      </w:r>
      <w:r>
        <w:t xml:space="preserve">. Salida de la UE, si existe </w:t>
      </w:r>
      <w:r>
        <w:rPr>
          <w:b/>
          <w:color w:val="2F80ED"/>
          <w:shd w:val="clear" w:fill="EAF1FB"/>
        </w:rPr>
        <w:t>[FECHAS]</w:t>
      </w:r>
      <w:r>
        <w:t xml:space="preserve">. Motivo </w:t>
      </w:r>
      <w:r>
        <w:rPr>
          <w:b/>
          <w:color w:val="2F80ED"/>
          <w:shd w:val="clear" w:fill="EAF1FB"/>
        </w:rPr>
        <w:t>[HECHO REAL]</w:t>
      </w:r>
      <w:r>
        <w:t xml:space="preserve">. Prueba </w:t>
      </w:r>
      <w:r>
        <w:rPr>
          <w:b/>
          <w:color w:val="2F80ED"/>
          <w:shd w:val="clear" w:fill="EAF1FB"/>
        </w:rPr>
        <w:t>[ARCHIVOS]</w:t>
      </w:r>
      <w:r>
        <w:t>.</w:t>
      </w:r>
    </w:p>
    <w:p>
      <w:pPr/>
      <w:r>
        <w:t xml:space="preserve">Viaje segundo. Salida </w:t>
      </w:r>
      <w:r>
        <w:rPr>
          <w:b/>
          <w:color w:val="2F80ED"/>
          <w:shd w:val="clear" w:fill="EAF1FB"/>
        </w:rPr>
        <w:t>[FECHA]</w:t>
      </w:r>
      <w:r>
        <w:t xml:space="preserve">. Regreso </w:t>
      </w:r>
      <w:r>
        <w:rPr>
          <w:b/>
          <w:color w:val="2F80ED"/>
          <w:shd w:val="clear" w:fill="EAF1FB"/>
        </w:rPr>
        <w:t>[FECHA]</w:t>
      </w:r>
      <w:r>
        <w:t xml:space="preserve">. Destino y tránsitos </w:t>
      </w:r>
      <w:r>
        <w:rPr>
          <w:b/>
          <w:color w:val="2F80ED"/>
          <w:shd w:val="clear" w:fill="EAF1FB"/>
        </w:rPr>
        <w:t>[DATOS]</w:t>
      </w:r>
      <w:r>
        <w:t xml:space="preserve">. Motivo </w:t>
      </w:r>
      <w:r>
        <w:rPr>
          <w:b/>
          <w:color w:val="2F80ED"/>
          <w:shd w:val="clear" w:fill="EAF1FB"/>
        </w:rPr>
        <w:t>[DATO]</w:t>
      </w:r>
      <w:r>
        <w:t xml:space="preserve">. Prueba </w:t>
      </w:r>
      <w:r>
        <w:rPr>
          <w:b/>
          <w:color w:val="2F80ED"/>
          <w:shd w:val="clear" w:fill="EAF1FB"/>
        </w:rPr>
        <w:t>[DOCUMENTOS]</w:t>
      </w:r>
      <w:r>
        <w:t>. Repetir según los viajes realmente realizados.</w:t>
      </w:r>
    </w:p>
    <w:p>
      <w:pPr/>
      <w:r>
        <w:t xml:space="preserve">Fechas aproximadas o pendientes de comprobar </w:t>
      </w:r>
      <w:r>
        <w:rPr>
          <w:b/>
          <w:color w:val="2F80ED"/>
          <w:shd w:val="clear" w:fill="EAF1FB"/>
        </w:rPr>
        <w:t>[RELACIÓN]</w:t>
      </w:r>
      <w:r>
        <w:t>. No se sustituyen por fechas inventadas para cerrar el cálculo.</w:t>
      </w:r>
    </w:p>
    <w:p>
      <w:pPr>
        <w:pStyle w:val="Heading2"/>
      </w:pPr>
      <w:r>
        <w:t>Cómputo y límites</w:t>
      </w:r>
    </w:p>
    <w:p>
      <w:pPr/>
      <w:r>
        <w:t xml:space="preserve">Método de recuento utilizado para ordenar los datos </w:t>
      </w:r>
      <w:r>
        <w:rPr>
          <w:b/>
          <w:color w:val="2F80ED"/>
          <w:shd w:val="clear" w:fill="EAF1FB"/>
        </w:rPr>
        <w:t>[DÍAS ENTRE FECHAS O DÍAS INCLUSIVOS]</w:t>
      </w:r>
      <w:r>
        <w:t xml:space="preserve">. Jornadas de salida y regreso </w:t>
      </w:r>
      <w:r>
        <w:rPr>
          <w:b/>
          <w:color w:val="2F80ED"/>
          <w:shd w:val="clear" w:fill="EAF1FB"/>
        </w:rPr>
        <w:t>[TRATAMIENTO EXPLÍCITO]</w:t>
      </w:r>
      <w:r>
        <w:t xml:space="preserve">. Periodos solapados </w:t>
      </w:r>
      <w:r>
        <w:rPr>
          <w:b/>
          <w:color w:val="2F80ED"/>
          <w:shd w:val="clear" w:fill="EAF1FB"/>
        </w:rPr>
        <w:t>[EXPLICACIÓN]</w:t>
      </w:r>
      <w:r>
        <w:t>.</w:t>
      </w:r>
    </w:p>
    <w:p>
      <w:pPr/>
      <w:r>
        <w:t xml:space="preserve">La regla jurídica que debe revisarse es </w:t>
      </w:r>
      <w:r>
        <w:rPr>
          <w:b/>
          <w:color w:val="2F80ED"/>
          <w:shd w:val="clear" w:fill="EAF1FB"/>
        </w:rPr>
        <w:t>[PERMANENCIA, RESIDENCIA CONTINUADA, AUSENCIA DE ESPAÑA, AUSENCIA DE LA UE U OTRA]</w:t>
      </w:r>
      <w:r>
        <w:t>. Un total de días no convierte meses legales en días ni garantiza continuidad para nacionalidad.</w:t>
      </w:r>
    </w:p>
    <w:p>
      <w:pPr/>
      <w:r>
        <w:t xml:space="preserve">Circunstancias excepcionales cuya valoración se solicita, si existen </w:t>
      </w:r>
      <w:r>
        <w:rPr>
          <w:b/>
          <w:color w:val="2F80ED"/>
          <w:shd w:val="clear" w:fill="EAF1FB"/>
        </w:rPr>
        <w:t>[HECHO, FECHA Y PRUEBA]</w:t>
      </w:r>
      <w:r>
        <w:t>. No se afirma que justifiquen automáticamente una ausencia.</w:t>
      </w:r>
    </w:p>
    <w:p>
      <w:pPr>
        <w:pStyle w:val="Heading2"/>
      </w:pPr>
      <w:r>
        <w:t>Documentos de contraste</w:t>
      </w:r>
    </w:p>
    <w:p>
      <w:pPr>
        <w:keepNext/>
      </w:pPr>
      <w:r>
        <w:rPr>
          <w:b/>
          <w:color w:val="2F80ED"/>
          <w:shd w:val="clear" w:fill="EAF1FB"/>
        </w:rPr>
        <w:t>[PASAPORTES COMPLETOS]</w:t>
      </w:r>
      <w:r>
        <w:t xml:space="preserve">. </w:t>
      </w:r>
      <w:r>
        <w:rPr>
          <w:b/>
          <w:color w:val="2F80ED"/>
          <w:shd w:val="clear" w:fill="EAF1FB"/>
        </w:rPr>
        <w:t>[BILLETES Y TARJETAS DE EMBARQUE]</w:t>
      </w:r>
      <w:r>
        <w:t xml:space="preserve">. </w:t>
      </w:r>
      <w:r>
        <w:rPr>
          <w:b/>
          <w:color w:val="2F80ED"/>
          <w:shd w:val="clear" w:fill="EAF1FB"/>
        </w:rPr>
        <w:t>[CERTIFICADOS O REGISTROS DISPONIBLES]</w:t>
      </w:r>
      <w:r>
        <w:t xml:space="preserve">. </w:t>
      </w:r>
      <w:r>
        <w:rPr>
          <w:b/>
          <w:color w:val="2F80ED"/>
          <w:shd w:val="clear" w:fill="EAF1FB"/>
        </w:rPr>
        <w:t>[PRUEBA REAL DE MOTIVOS]</w:t>
      </w:r>
      <w:r>
        <w:t>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Contrastar todos los pasaportes y evitar duplicar escalas como viajes separados.</w:t>
      </w:r>
    </w:p>
    <w:p>
      <w:pPr>
        <w:pStyle w:val="ListBullet"/>
      </w:pPr>
      <w:r>
        <w:t>Distinguir residencia legal, estancia y simple empadronamiento.</w:t>
      </w:r>
    </w:p>
    <w:p>
      <w:pPr>
        <w:pStyle w:val="ListBullet"/>
      </w:pPr>
      <w:r>
        <w:t>Separar ausencias de España de ausencias de la Unión cuando sea relevante.</w:t>
      </w:r>
    </w:p>
    <w:p>
      <w:pPr>
        <w:pStyle w:val="ListBullet"/>
      </w:pPr>
      <w:r>
        <w:t>Revisar la norma de cada trámite; Schengen, larga duración y nacionalidad no comparten un umbral universal.</w:t>
      </w:r>
    </w:p>
    <w:p>
      <w:pPr>
        <w:pStyle w:val="Heading2"/>
      </w:pPr>
      <w:r>
        <w:t>Alcance y límites</w:t>
      </w:r>
    </w:p>
    <w:p>
      <w:pPr/>
      <w:r>
        <w:t>Es una relación factual, no un certificado de movimientos ni un cálculo definitivo de derecho. La firma solo debe confirmar datos conocidos y documentos realmente disponibles.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Un viaje va del 1 al 3 de abril. Hay dos días entre fechas y tres fechas naturales incluidas. El anexo declara el método sin decidir cuál debe aplicar una norma concreta.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Código Civil</w:t>
        </w:r>
      </w:hyperlink>
    </w:p>
    <w:p>
      <w:pPr/>
      <w:hyperlink r:id="rId13" w:history="1">
        <w:r>
          <w:rPr>
            <w:rStyle w:val="Hyperlink"/>
          </w:rPr>
          <w:t>RD 240/2007</w:t>
        </w:r>
      </w:hyperlink>
    </w:p>
    <w:p>
      <w:pPr/>
      <w:hyperlink r:id="rId14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www.boe.es/buscar/act.php?id=BOE-A-1889-4763" TargetMode="External"/><Relationship Id="rId13" Type="http://schemas.openxmlformats.org/officeDocument/2006/relationships/hyperlink" Target="https://www.boe.es/buscar/act.php?id=BOE-A-2007-4184" TargetMode="External"/><Relationship Id="rId14" Type="http://schemas.openxmlformats.org/officeDocument/2006/relationships/hyperlink" Target="https://perezburgosabogados.es/ausencias-fuera-espana-residenc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Relación de viajes y ausencias para residencia o nacionalidad</dc:title>
  <dc:subject>Extranjería | Ordenar fechas, destino, motivo y prueba de cada viaje sin declarar automáticamente cumplida la continuidad legal.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