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Borrador para completar</w:t>
      </w:r>
    </w:p>
    <w:p>
      <w:pPr>
        <w:pStyle w:val="Title"/>
      </w:pPr>
      <w:r>
        <w:t>Petición de rectificación de un error material de identidad</w:t>
      </w:r>
    </w:p>
    <w:p>
      <w:pPr/>
      <w:r>
        <w:t>Identificar una errata comprobable en un documento o resolución y aportar la prueba correcta sin intentar cambiar el fondo del acto.</w:t>
      </w:r>
    </w:p>
    <w:p>
      <w:pPr/>
      <w:r>
        <w:t xml:space="preserve">A </w:t>
      </w:r>
      <w:r>
        <w:rPr>
          <w:b/>
          <w:color w:val="2F80ED"/>
          <w:shd w:val="clear" w:fill="EAF1FB"/>
        </w:rPr>
        <w:t>[ÓRGANO AUTOR DEL DOCUMENTO O RESOLUCIÓN]</w:t>
      </w:r>
    </w:p>
    <w:p>
      <w:pPr>
        <w:pStyle w:val="Heading2"/>
      </w:pPr>
      <w:r>
        <w:t>Identificación</w:t>
      </w:r>
    </w:p>
    <w:p>
      <w:pPr/>
      <w:r>
        <w:t xml:space="preserve">D./D.ª </w:t>
      </w:r>
      <w:r>
        <w:rPr>
          <w:b/>
          <w:color w:val="2F80ED"/>
          <w:shd w:val="clear" w:fill="EAF1FB"/>
        </w:rPr>
        <w:t xml:space="preserve">[NOMBRE CORRECTO]</w:t>
      </w:r>
      <w:r>
        <w:t xml:space="preserve">, con </w:t>
      </w:r>
      <w:r>
        <w:rPr>
          <w:b/>
          <w:color w:val="2F80ED"/>
          <w:shd w:val="clear" w:fill="EAF1FB"/>
        </w:rPr>
        <w:t xml:space="preserve">[DOCUMENTO]</w:t>
      </w:r>
      <w:r>
        <w:t xml:space="preserve">, en el expediente </w:t>
      </w:r>
      <w:r>
        <w:rPr>
          <w:b/>
          <w:color w:val="2F80ED"/>
          <w:shd w:val="clear" w:fill="EAF1FB"/>
        </w:rPr>
        <w:t xml:space="preserve">[NÚMERO]</w:t>
      </w:r>
      <w:r>
        <w:t xml:space="preserve">, medio de notificación </w:t>
      </w:r>
      <w:r>
        <w:rPr>
          <w:b/>
          <w:color w:val="2F80ED"/>
          <w:shd w:val="clear" w:fill="EAF1FB"/>
        </w:rPr>
        <w:t xml:space="preserve">[CANAL ELECTRÓNICO VÁLIDO O DOMICILIO, CUANDO PROCEDA]</w:t>
      </w:r>
      <w:r>
        <w:t xml:space="preserve">, en nombre propio o mediante </w:t>
      </w:r>
      <w:r>
        <w:rPr>
          <w:b/>
          <w:color w:val="2F80ED"/>
          <w:shd w:val="clear" w:fill="EAF1FB"/>
        </w:rPr>
        <w:t xml:space="preserve">[REPRESENTACIÓN ACREDITADA]</w:t>
      </w:r>
      <w:r>
        <w:t xml:space="preserve">.</w:t>
      </w:r>
    </w:p>
    <w:p>
      <w:pPr>
        <w:pStyle w:val="Heading2"/>
      </w:pPr>
      <w:r>
        <w:t>Error y prueba</w:t>
      </w:r>
    </w:p>
    <w:p>
      <w:pPr/>
      <w:r>
        <w:t xml:space="preserve">En </w:t>
      </w:r>
      <w:r>
        <w:rPr>
          <w:b/>
          <w:color w:val="2F80ED"/>
          <w:shd w:val="clear" w:fill="EAF1FB"/>
        </w:rPr>
        <w:t>[RESOLUCIÓN O DOCUMENTO]</w:t>
      </w:r>
      <w:r>
        <w:t xml:space="preserve">, de fecha </w:t>
      </w:r>
      <w:r>
        <w:rPr>
          <w:b/>
          <w:color w:val="2F80ED"/>
          <w:shd w:val="clear" w:fill="EAF1FB"/>
        </w:rPr>
        <w:t>[FECHA]</w:t>
      </w:r>
      <w:r>
        <w:t xml:space="preserve">, apartado </w:t>
      </w:r>
      <w:r>
        <w:rPr>
          <w:b/>
          <w:color w:val="2F80ED"/>
          <w:shd w:val="clear" w:fill="EAF1FB"/>
        </w:rPr>
        <w:t>[LOCALIZACIÓN]</w:t>
      </w:r>
      <w:r>
        <w:t xml:space="preserve">, figura literalmente </w:t>
      </w:r>
      <w:r>
        <w:rPr>
          <w:b/>
          <w:color w:val="2F80ED"/>
          <w:shd w:val="clear" w:fill="EAF1FB"/>
        </w:rPr>
        <w:t>[DATO ERRÓNEO]</w:t>
      </w:r>
      <w:r>
        <w:t xml:space="preserve">. El dato que resulta de </w:t>
      </w:r>
      <w:r>
        <w:rPr>
          <w:b/>
          <w:color w:val="2F80ED"/>
          <w:shd w:val="clear" w:fill="EAF1FB"/>
        </w:rPr>
        <w:t>[DOCUMENTO AUTÉNTICO, EMISOR Y FECHA]</w:t>
      </w:r>
      <w:r>
        <w:t xml:space="preserve"> es </w:t>
      </w:r>
      <w:r>
        <w:rPr>
          <w:b/>
          <w:color w:val="2F80ED"/>
          <w:shd w:val="clear" w:fill="EAF1FB"/>
        </w:rPr>
        <w:t>[DATO CORRECTO]</w:t>
      </w:r>
      <w:r>
        <w:t>.</w:t>
      </w:r>
    </w:p>
    <w:p>
      <w:pPr/>
      <w:r>
        <w:t xml:space="preserve">La correspondencia entre la persona y los documentos se acredita mediante </w:t>
      </w:r>
      <w:r>
        <w:rPr>
          <w:b/>
          <w:color w:val="2F80ED"/>
          <w:shd w:val="clear" w:fill="EAF1FB"/>
        </w:rPr>
        <w:t>[PRUEBA]</w:t>
      </w:r>
      <w:r>
        <w:t xml:space="preserve">. Se adjunta copia legible de </w:t>
      </w:r>
      <w:r>
        <w:rPr>
          <w:b/>
          <w:color w:val="2F80ED"/>
          <w:shd w:val="clear" w:fill="EAF1FB"/>
        </w:rPr>
        <w:t>[DOCUMENTOS]</w:t>
      </w:r>
      <w:r>
        <w:t xml:space="preserve">, indicando </w:t>
      </w:r>
      <w:r>
        <w:rPr>
          <w:b/>
          <w:color w:val="2F80ED"/>
          <w:shd w:val="clear" w:fill="EAF1FB"/>
        </w:rPr>
        <w:t>[CAMBIO DE PASAPORTE O TRANSLITERACIÓN, SOLO SI EXISTE]</w:t>
      </w:r>
      <w:r>
        <w:t>.</w:t>
      </w:r>
    </w:p>
    <w:p>
      <w:pPr/>
      <w:r>
        <w:t xml:space="preserve">El alcance de la petición se limita a </w:t>
      </w:r>
      <w:r>
        <w:rPr>
          <w:b/>
          <w:color w:val="2F80ED"/>
          <w:shd w:val="clear" w:fill="EAF1FB"/>
        </w:rPr>
        <w:t>[ERRATA CONCRETA]</w:t>
      </w:r>
      <w:r>
        <w:t>. Si la diferencia responde a una modificación sustantiva, se solicita que se indique el trámite procedente, sin pretender sustituirlo con esta petición.</w:t>
      </w:r>
    </w:p>
    <w:p>
      <w:pPr>
        <w:pStyle w:val="Heading2"/>
      </w:pPr>
      <w:r>
        <w:t>Solicita</w:t>
      </w:r>
    </w:p>
    <w:p>
      <w:pPr/>
      <w:r>
        <w:t>Que se examine y rectifique el error material, de hecho o aritmético identificado, si concurren los presupuestos del artículo 109.2 de la Ley 39/2015, emitiendo o notificando la constancia corregida que corresponda.</w:t>
      </w:r>
    </w:p>
    <w:p>
      <w:pPr/>
      <w:r>
        <w:t>Que se comunique la corrección al registro o unidad competente cuando legalmente proceda y se facilite justificante de la actuación.</w:t>
      </w:r>
    </w:p>
    <w:p>
      <w:pPr>
        <w:pStyle w:val="Heading2"/>
      </w:pPr>
      <w:r>
        <w:t>Anexos</w:t>
      </w:r>
    </w:p>
    <w:p>
      <w:pPr>
        <w:keepNext/>
      </w:pPr>
      <w:r>
        <w:rPr>
          <w:b/>
          <w:color w:val="2F80ED"/>
          <w:shd w:val="clear" w:fill="EAF1FB"/>
        </w:rPr>
        <w:t>[DOCUMENTO CON ERROR]</w:t>
      </w:r>
      <w:r>
        <w:t xml:space="preserve">. </w:t>
      </w:r>
      <w:r>
        <w:rPr>
          <w:b/>
          <w:color w:val="2F80ED"/>
          <w:shd w:val="clear" w:fill="EAF1FB"/>
        </w:rPr>
        <w:t>[IDENTIDAD Y PRUEBA DEL DATO CORRECTO]</w:t>
      </w:r>
      <w:r>
        <w:t xml:space="preserve">. </w:t>
      </w:r>
      <w:r>
        <w:rPr>
          <w:b/>
          <w:color w:val="2F80ED"/>
          <w:shd w:val="clear" w:fill="EAF1FB"/>
        </w:rPr>
        <w:t>[CONTINUIDAD ENTRE DOCUMENTOS, SI ES NECESARIA]</w:t>
      </w:r>
      <w:r>
        <w:t>.</w:t>
      </w:r>
    </w:p>
    <w:p>
      <w:pPr>
        <w:keepLines/>
      </w:pPr>
      <w:r>
        <w:t xml:space="preserve">En </w:t>
      </w:r>
      <w:r>
        <w:rPr>
          <w:b/>
          <w:color w:val="2F80ED"/>
          <w:shd w:val="clear" w:fill="EAF1FB"/>
        </w:rPr>
        <w:t>[LOCALIDAD]</w:t>
      </w:r>
      <w:r>
        <w:t xml:space="preserve">, a </w:t>
      </w:r>
      <w:r>
        <w:rPr>
          <w:b/>
          <w:color w:val="2F80ED"/>
          <w:shd w:val="clear" w:fill="EAF1FB"/>
        </w:rPr>
        <w:t>[FECHA REAL]</w:t>
      </w:r>
      <w:r>
        <w:t xml:space="preserve">. Firma: </w:t>
      </w:r>
      <w:r>
        <w:rPr>
          <w:b/>
          <w:color w:val="2F80ED"/>
          <w:shd w:val="clear" w:fill="EAF1FB"/>
        </w:rPr>
        <w:t>[PERSONA Y CONDICIÓN EN QUE ACTÚA]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 xml:space="preserve">La guía de uso se sitúa después del borrador principal. Retírala de la copia que se presente y verifica formulario oficial, representación, firma, tasa, canal y resguardo cuando sean necesarios. El correo y el teléfono sirven solo para avisos: indica el canal electrónico válido o domicilio cuando proceda y vigila el cauce obligatorio.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Reproducir exactamente el error y dónde aparece.</w:t>
      </w:r>
    </w:p>
    <w:p>
      <w:pPr>
        <w:pStyle w:val="ListBullet"/>
      </w:pPr>
      <w:r>
        <w:t>Aportar el documento del que resulte la corrección, no una mera afirmación.</w:t>
      </w:r>
    </w:p>
    <w:p>
      <w:pPr>
        <w:pStyle w:val="ListBullet"/>
      </w:pPr>
      <w:r>
        <w:t>Distinguir errata de controversia sobre nacionalidad, filiación, edad o derecho concedido.</w:t>
      </w:r>
    </w:p>
    <w:p>
      <w:pPr>
        <w:pStyle w:val="ListBullet"/>
      </w:pPr>
      <w:r>
        <w:t>Si existe plazo de recurso por el fondo, conservarlo por la actuación adecuada.</w:t>
      </w:r>
    </w:p>
    <w:p>
      <w:pPr>
        <w:pStyle w:val="Heading2"/>
      </w:pPr>
      <w:r>
        <w:t>Alcance y límites</w:t>
      </w:r>
    </w:p>
    <w:p>
      <w:pPr/>
      <w:r>
        <w:t>No es un recurso ni permite revisar cualquier conclusión jurídica. Pedir rectificación no suspende por sí solo el plazo de impugnación. La nueva tarjeta o documento puede exigir un trámite adicional propio.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La resolución tiene una cifra del pasaporte transpuesta y el expediente contiene la copia correcta. Se pide rectificar esa cifra; no cambiar la identidad o el tipo de autorización.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Ley 39/2015</w:t>
        </w:r>
      </w:hyperlink>
    </w:p>
    <w:p>
      <w:pPr/>
      <w:hyperlink r:id="rId12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0565" TargetMode="External"/><Relationship Id="rId12" Type="http://schemas.openxmlformats.org/officeDocument/2006/relationships/hyperlink" Target="https://perezburgosabogados.es/perdida-robo-tie-pasaporte-extranjer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Petición de rectificación de un error material de identidad</dc:title>
  <dc:subject>Extranjería | Identificar una errata comprobable en un documento o resolución y aportar la prueba correcta sin intentar cambiar el fondo del acto.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