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Memoria para preparar una residencia independiente</w:t>
      </w:r>
    </w:p>
    <w:p>
      <w:pPr/>
      <w:r>
        <w:t>Relacionar el título familiar, el supuesto invocado y su prueba antes de presentar el formulario y solicitud que correspondan.</w:t>
      </w:r>
    </w:p>
    <w:p>
      <w:pPr/>
      <w:r>
        <w:t>Memoria de preparación de la solicitud conforme al régimen identificado</w:t>
      </w:r>
    </w:p>
    <w:p>
      <w:pPr>
        <w:pStyle w:val="Heading2"/>
      </w:pPr>
      <w:r>
        <w:t>Titular y autorización</w:t>
      </w:r>
    </w:p>
    <w:p>
      <w:pPr/>
      <w:r>
        <w:t xml:space="preserve">Persona </w:t>
      </w:r>
      <w:r>
        <w:rPr>
          <w:b/>
          <w:color w:val="2F80ED"/>
          <w:shd w:val="clear" w:fill="EAF1FB"/>
        </w:rPr>
        <w:t>[NOMBRE Y DOCUMENTO]</w:t>
      </w:r>
      <w:r>
        <w:t xml:space="preserve">. Concesión actual </w:t>
      </w:r>
      <w:r>
        <w:rPr>
          <w:b/>
          <w:color w:val="2F80ED"/>
          <w:shd w:val="clear" w:fill="EAF1FB"/>
        </w:rPr>
        <w:t>[TIPO, FECHA Y NORMA]</w:t>
      </w:r>
      <w:r>
        <w:t xml:space="preserve">. Familiar de referencia </w:t>
      </w:r>
      <w:r>
        <w:rPr>
          <w:b/>
          <w:color w:val="2F80ED"/>
          <w:shd w:val="clear" w:fill="EAF1FB"/>
        </w:rPr>
        <w:t>[DATOS NECESARIOS]</w:t>
      </w:r>
      <w:r>
        <w:t xml:space="preserve">. Vigencia </w:t>
      </w:r>
      <w:r>
        <w:rPr>
          <w:b/>
          <w:color w:val="2F80ED"/>
          <w:shd w:val="clear" w:fill="EAF1FB"/>
        </w:rPr>
        <w:t>[FECHAS]</w:t>
      </w:r>
      <w:r>
        <w:t>.</w:t>
      </w:r>
    </w:p>
    <w:p>
      <w:pPr>
        <w:pStyle w:val="Heading2"/>
      </w:pPr>
      <w:r>
        <w:t>Supuesto que se propone estudiar</w:t>
      </w:r>
    </w:p>
    <w:p>
      <w:pPr/>
      <w:r>
        <w:t xml:space="preserve">Se invoca </w:t>
      </w:r>
      <w:r>
        <w:rPr>
          <w:b/>
          <w:color w:val="2F80ED"/>
          <w:shd w:val="clear" w:fill="EAF1FB"/>
        </w:rPr>
        <w:t>[ACTIVIDAD O MEDIOS PROPIOS, RUPTURA, FALLECIMIENTO, PROTECCIÓN U OTRO SUPUESTO LEGAL]</w:t>
      </w:r>
      <w:r>
        <w:t xml:space="preserve">. La norma propuesta es </w:t>
      </w:r>
      <w:r>
        <w:rPr>
          <w:b/>
          <w:color w:val="2F80ED"/>
          <w:shd w:val="clear" w:fill="EAF1FB"/>
        </w:rPr>
        <w:t>[ARTÍCULO 69, 99 O RD 240/2007, SEGÚN PROCEDA]</w:t>
      </w:r>
      <w:r>
        <w:t>.</w:t>
      </w:r>
    </w:p>
    <w:p>
      <w:pPr/>
      <w:r>
        <w:t xml:space="preserve">Cronología del vínculo y convivencia </w:t>
      </w:r>
      <w:r>
        <w:rPr>
          <w:b/>
          <w:color w:val="2F80ED"/>
          <w:shd w:val="clear" w:fill="EAF1FB"/>
        </w:rPr>
        <w:t>[FECHAS Y PRUEBA]</w:t>
      </w:r>
      <w:r>
        <w:t xml:space="preserve">. Hecho causante </w:t>
      </w:r>
      <w:r>
        <w:rPr>
          <w:b/>
          <w:color w:val="2F80ED"/>
          <w:shd w:val="clear" w:fill="EAF1FB"/>
        </w:rPr>
        <w:t>[DATO]</w:t>
      </w:r>
      <w:r>
        <w:t xml:space="preserve">. Fecha de admisión de demanda, notificación u otro hito </w:t>
      </w:r>
      <w:r>
        <w:rPr>
          <w:b/>
          <w:color w:val="2F80ED"/>
          <w:shd w:val="clear" w:fill="EAF1FB"/>
        </w:rPr>
        <w:t>[DOCUMENTO]</w:t>
      </w:r>
      <w:r>
        <w:t>. No se equiparan sin revisión esos hitos.</w:t>
      </w:r>
    </w:p>
    <w:p>
      <w:pPr>
        <w:pStyle w:val="Heading2"/>
      </w:pPr>
      <w:r>
        <w:t>Prueba y efectos familiares</w:t>
      </w:r>
    </w:p>
    <w:p>
      <w:pPr/>
      <w:r>
        <w:t xml:space="preserve">Medios o actividad </w:t>
      </w:r>
      <w:r>
        <w:rPr>
          <w:b/>
          <w:color w:val="2F80ED"/>
          <w:shd w:val="clear" w:fill="EAF1FB"/>
        </w:rPr>
        <w:t>[CONTRATO, VIDA LABORAL, RECURSOS O PROYECTO REAL]</w:t>
      </w:r>
      <w:r>
        <w:t xml:space="preserve">. Custodia, visitas o convivencia de hijos si son relevantes </w:t>
      </w:r>
      <w:r>
        <w:rPr>
          <w:b/>
          <w:color w:val="2F80ED"/>
          <w:shd w:val="clear" w:fill="EAF1FB"/>
        </w:rPr>
        <w:t>[DOCUMENTOS]</w:t>
      </w:r>
      <w:r>
        <w:t>.</w:t>
      </w:r>
    </w:p>
    <w:p>
      <w:pPr/>
      <w:r>
        <w:t xml:space="preserve">Actuaciones de protección, si existen </w:t>
      </w:r>
      <w:r>
        <w:rPr>
          <w:b/>
          <w:color w:val="2F80ED"/>
          <w:shd w:val="clear" w:fill="EAF1FB"/>
        </w:rPr>
        <w:t>[IDENTIFICACIÓN MÍNIMA DEL DOCUMENTO]</w:t>
      </w:r>
      <w:r>
        <w:t xml:space="preserve">. Otras personas reagrupadas cuya situación debe coordinarse </w:t>
      </w:r>
      <w:r>
        <w:rPr>
          <w:b/>
          <w:color w:val="2F80ED"/>
          <w:shd w:val="clear" w:fill="EAF1FB"/>
        </w:rPr>
        <w:t>[DATOS ESTRICTAMENTE NECESARIOS]</w:t>
      </w:r>
      <w:r>
        <w:t>.</w:t>
      </w:r>
    </w:p>
    <w:p>
      <w:pPr/>
      <w:r>
        <w:t xml:space="preserve">Solicitud o comunicación ya realizada </w:t>
      </w:r>
      <w:r>
        <w:rPr>
          <w:b/>
          <w:color w:val="2F80ED"/>
          <w:shd w:val="clear" w:fill="EAF1FB"/>
        </w:rPr>
        <w:t>[FECHA Y RESGUARDO]</w:t>
      </w:r>
      <w:r>
        <w:t xml:space="preserve">. Actuaciones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2"/>
      </w:pPr>
      <w:r>
        <w:t>Objeto y anexos</w:t>
      </w:r>
    </w:p>
    <w:p>
      <w:pPr/>
      <w:r>
        <w:t xml:space="preserve">La memoria ordena hechos y prueba para valorar </w:t>
      </w:r>
      <w:r>
        <w:rPr>
          <w:b/>
          <w:color w:val="2F80ED"/>
          <w:shd w:val="clear" w:fill="EAF1FB"/>
        </w:rPr>
        <w:t>[SUPUESTO]</w:t>
      </w:r>
      <w:r>
        <w:t xml:space="preserve"> y se acompaña al trámite oficial solo si resulta pertinente. No declara concedida una residencia independiente ni modifica por sí sola el título actual.</w:t>
      </w:r>
    </w:p>
    <w:p>
      <w:pPr>
        <w:keepNext/>
      </w:pPr>
      <w:r>
        <w:t xml:space="preserve">Anexos </w:t>
      </w:r>
      <w:r>
        <w:rPr>
          <w:b/>
          <w:color w:val="2F80ED"/>
          <w:shd w:val="clear" w:fill="EAF1FB"/>
        </w:rPr>
        <w:t>[RESOLUCIONES, VÍNCULO, HECHO CAUSANTE, MEDIOS, CUSTODIA Y RESGUARDOS]</w:t>
      </w:r>
      <w:r>
        <w:t>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Identificar régimen antes de elegir artículo y formulario.</w:t>
      </w:r>
    </w:p>
    <w:p>
      <w:pPr>
        <w:pStyle w:val="ListBullet"/>
      </w:pPr>
      <w:r>
        <w:t>Calcular cada obligación de comunicación y solicitud por separado.</w:t>
      </w:r>
    </w:p>
    <w:p>
      <w:pPr>
        <w:pStyle w:val="ListBullet"/>
      </w:pPr>
      <w:r>
        <w:t>No presuponer pérdida automática ni conservación hasta la fecha de TIE.</w:t>
      </w:r>
    </w:p>
    <w:p>
      <w:pPr>
        <w:pStyle w:val="ListBullet"/>
      </w:pPr>
      <w:r>
        <w:t>Comprobar modificación alternativa si no puede mantenerse el título a título personal.</w:t>
      </w:r>
    </w:p>
    <w:p>
      <w:pPr>
        <w:pStyle w:val="Heading2"/>
      </w:pPr>
      <w:r>
        <w:t>Alcance y límites</w:t>
      </w:r>
    </w:p>
    <w:p>
      <w:pPr/>
      <w:r>
        <w:t>No sustituye la solicitud oficial ni acredita por sí sola vínculo, ingresos o violencia. En conflicto familiar o de seguridad se coordina con asistencia especializada.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Una persona reagrupada invoca actividad propia; otra conserva residencia tras divorcio de español. Se utilizan artículos y pruebas distintos aunque ambas pidan independencia.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RD 240/2007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boe.es/buscar/act.php?id=BOE-A-2007-4184" TargetMode="External"/><Relationship Id="rId13" Type="http://schemas.openxmlformats.org/officeDocument/2006/relationships/hyperlink" Target="https://perezburgosabogados.es/residencia-independiente-familiares-reagrupad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para preparar una residencia independiente</dc:title>
  <dc:subject>Extranjería | Relacionar el título familiar, el supuesto invocado y su prueba antes de presentar el formulario y solicitud que correspondan.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