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de trabajo y residencia transfronteriza</w:t>
      </w:r>
    </w:p>
    <w:p>
      <w:r>
        <w:t>Ordenar domicilio exterior, regreso diario y actividad para preparar cuenta ajena o propia sin presumir residencia en España.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Persona y domicilio</w:t>
      </w:r>
    </w:p>
    <w:p>
      <w:r>
        <w:t xml:space="preserve">Persona </w:t>
      </w:r>
      <w:r>
        <w:rPr>
          <w:color w:val="1D4E89"/>
        </w:rPr>
        <w:t>[REFERENCIA]</w:t>
      </w:r>
      <w:r>
        <w:t xml:space="preserve">. Nacionalidad y documento </w:t>
      </w:r>
      <w:r>
        <w:rPr>
          <w:color w:val="1D4E89"/>
        </w:rPr>
        <w:t>[DATOS]</w:t>
      </w:r>
      <w:r>
        <w:t xml:space="preserve">. Domicilio en zona limítrofe </w:t>
      </w:r>
      <w:r>
        <w:rPr>
          <w:color w:val="1D4E89"/>
        </w:rPr>
        <w:t>[LOCALIDAD Y PAÍS]</w:t>
      </w:r>
      <w:r>
        <w:t xml:space="preserve">. Prueba de residencia efectiva </w:t>
      </w:r>
      <w:r>
        <w:rPr>
          <w:color w:val="1D4E89"/>
        </w:rPr>
        <w:t>[DOCUMENTOS]</w:t>
      </w:r>
      <w:r>
        <w:t xml:space="preserve">. Régimen aplicable por nacionalidad </w:t>
      </w:r>
      <w:r>
        <w:rPr>
          <w:color w:val="1D4E89"/>
        </w:rPr>
        <w:t>[PENDIENTE DE COMPROBAR]</w:t>
      </w:r>
      <w:r>
        <w:t>.</w:t>
      </w:r>
    </w:p>
    <w:p>
      <w:pPr>
        <w:pStyle w:val="Heading2"/>
      </w:pPr>
      <w:r>
        <w:t>Regreso y actividad</w:t>
      </w:r>
    </w:p>
    <w:p>
      <w:r>
        <w:t xml:space="preserve">Lugar de trabajo en España </w:t>
      </w:r>
      <w:r>
        <w:rPr>
          <w:color w:val="1D4E89"/>
        </w:rPr>
        <w:t>[DIRECCIÓN]</w:t>
      </w:r>
      <w:r>
        <w:t xml:space="preserve">. Horario y desplazamiento diario </w:t>
      </w:r>
      <w:r>
        <w:rPr>
          <w:color w:val="1D4E89"/>
        </w:rPr>
        <w:t>[DATOS]</w:t>
      </w:r>
      <w:r>
        <w:t xml:space="preserve">. Medios de traslado y compatibilidad </w:t>
      </w:r>
      <w:r>
        <w:rPr>
          <w:color w:val="1D4E89"/>
        </w:rPr>
        <w:t>[HECHOS]</w:t>
      </w:r>
      <w:r>
        <w:t xml:space="preserve">. Ausencias o pernoctas relevantes </w:t>
      </w:r>
      <w:r>
        <w:rPr>
          <w:color w:val="1D4E89"/>
        </w:rPr>
        <w:t>[DETALLE VERAZ]</w:t>
      </w:r>
      <w:r>
        <w:t xml:space="preserve">. Actividad </w:t>
      </w:r>
      <w:r>
        <w:rPr>
          <w:color w:val="1D4E89"/>
        </w:rPr>
        <w:t>[AJENA / PROPIA]</w:t>
      </w:r>
      <w:r>
        <w:t>.</w:t>
      </w:r>
    </w:p>
    <w:p>
      <w:pPr>
        <w:pStyle w:val="Heading2"/>
      </w:pPr>
      <w:r>
        <w:t>Cuenta ajena si procede</w:t>
      </w:r>
    </w:p>
    <w:p>
      <w:r>
        <w:t xml:space="preserve">Empresa y representación </w:t>
      </w:r>
      <w:r>
        <w:rPr>
          <w:color w:val="1D4E89"/>
        </w:rPr>
        <w:t>[DOCUMENTOS]</w:t>
      </w:r>
      <w:r>
        <w:t xml:space="preserve">. Contrato, puesto y ocupación </w:t>
      </w:r>
      <w:r>
        <w:rPr>
          <w:color w:val="1D4E89"/>
        </w:rPr>
        <w:t>[REFERENCIA]</w:t>
      </w:r>
      <w:r>
        <w:t xml:space="preserve">. Inicio condicionado a autorización </w:t>
      </w:r>
      <w:r>
        <w:rPr>
          <w:color w:val="1D4E89"/>
        </w:rPr>
        <w:t>[CLÁUSULA]</w:t>
      </w:r>
      <w:r>
        <w:t xml:space="preserve">. Jornada y salario </w:t>
      </w:r>
      <w:r>
        <w:rPr>
          <w:color w:val="1D4E89"/>
        </w:rPr>
        <w:t>[DATOS]</w:t>
      </w:r>
      <w:r>
        <w:t xml:space="preserve">. Solvencia y situación nacional de empleo </w:t>
      </w:r>
      <w:r>
        <w:rPr>
          <w:color w:val="1D4E89"/>
        </w:rPr>
        <w:t>[PRUEBA O EXCEPCIÓN A REVISAR]</w:t>
      </w:r>
      <w:r>
        <w:t>.</w:t>
      </w:r>
    </w:p>
    <w:p>
      <w:pPr>
        <w:pStyle w:val="Heading2"/>
      </w:pPr>
      <w:r>
        <w:t>Cuenta propia si procede</w:t>
      </w:r>
    </w:p>
    <w:p>
      <w:r>
        <w:t xml:space="preserve">Sector y proyecto </w:t>
      </w:r>
      <w:r>
        <w:rPr>
          <w:color w:val="1D4E89"/>
        </w:rPr>
        <w:t>[DESCRIPCIÓN]</w:t>
      </w:r>
      <w:r>
        <w:t xml:space="preserve">. Inversión y disponibilidad </w:t>
      </w:r>
      <w:r>
        <w:rPr>
          <w:color w:val="1D4E89"/>
        </w:rPr>
        <w:t>[DOCUMENTOS]</w:t>
      </w:r>
      <w:r>
        <w:t xml:space="preserve">. Ingresos, gastos y recursos del primer año </w:t>
      </w:r>
      <w:r>
        <w:rPr>
          <w:color w:val="1D4E89"/>
        </w:rPr>
        <w:t>[CÁLCULO SEPARADO]</w:t>
      </w:r>
      <w:r>
        <w:t xml:space="preserve">. Licencias y cualificación </w:t>
      </w:r>
      <w:r>
        <w:rPr>
          <w:color w:val="1D4E89"/>
        </w:rPr>
        <w:t>[ESTADO]</w:t>
      </w:r>
      <w:r>
        <w:t>. Retirar el apartado que no corresponda.</w:t>
      </w:r>
    </w:p>
    <w:p>
      <w:pPr>
        <w:pStyle w:val="Heading2"/>
      </w:pPr>
      <w:r>
        <w:t>Solicitud y seguimiento</w:t>
      </w:r>
    </w:p>
    <w:p>
      <w:r>
        <w:t xml:space="preserve">Administración competente </w:t>
      </w:r>
      <w:r>
        <w:rPr>
          <w:color w:val="1D4E89"/>
        </w:rPr>
        <w:t>[COMPROBACIÓN]</w:t>
      </w:r>
      <w:r>
        <w:t xml:space="preserve">. EX03 o EX07 según vía </w:t>
      </w:r>
      <w:r>
        <w:rPr>
          <w:color w:val="1D4E89"/>
        </w:rPr>
        <w:t>[VERSIÓN]</w:t>
      </w:r>
      <w:r>
        <w:t xml:space="preserve">. Resolución, ocupación o sector y territorio </w:t>
      </w:r>
      <w:r>
        <w:rPr>
          <w:color w:val="1D4E89"/>
        </w:rPr>
        <w:t>[DATOS SOLO SI EXISTEN]</w:t>
      </w:r>
      <w:r>
        <w:t xml:space="preserve">. Alta y tarjeta </w:t>
      </w:r>
      <w:r>
        <w:rPr>
          <w:color w:val="1D4E89"/>
        </w:rPr>
        <w:t>[FECHAS Y ESTADO]</w:t>
      </w:r>
      <w:r>
        <w:t xml:space="preserve">. Continuidad y cambios </w:t>
      </w:r>
      <w:r>
        <w:rPr>
          <w:color w:val="1D4E89"/>
        </w:rPr>
        <w:t>[RELACIÓN]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Acreditar domicilio limítrofe y regreso diario real.</w:t>
      </w:r>
    </w:p>
    <w:p>
      <w:r>
        <w:t>• Seleccionar solo cuenta ajena o propia según el caso.</w:t>
      </w:r>
    </w:p>
    <w:p>
      <w:r>
        <w:t>• Verificar la competencia y límites territorial y de actividad.</w:t>
      </w:r>
    </w:p>
    <w:p>
      <w:r>
        <w:t>• Revisar alta y tarjeta incluso con autorización inferior a seis meses.</w:t>
      </w:r>
    </w:p>
    <w:p>
      <w:pPr>
        <w:pStyle w:val="Heading2"/>
      </w:pPr>
      <w:r>
        <w:t>Alcance de la ficha</w:t>
      </w:r>
    </w:p>
    <w:p>
      <w:r>
        <w:t>No es solicitud oficial, prueba única de domicilio ni autorización para trabajar o residir. Los cambios de actividad, empleador o residencia necesitan revisión. No extiende derechos del Acuerdo de Retirada a quien no esté cubierto.</w:t>
      </w:r>
    </w:p>
    <w:p>
      <w:pPr>
        <w:pStyle w:val="Heading2"/>
      </w:pPr>
      <w:r>
        <w:t>Ejemplo ficticio separado</w:t>
      </w:r>
    </w:p>
    <w:p>
      <w:r>
        <w:t>Caso ficticio: una empresa propone trabajo de seis meses en la zona fronteriza. El interesado acredita domicilio exterior y desplazamiento diario; quedan pendientes la autorización, el alta y la tarjeta específica.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Migraciones transfronterizos cuenta ajena</w:t>
        </w:r>
      </w:hyperlink>
    </w:p>
    <w:p>
      <w:pPr/>
      <w:hyperlink r:id="rId12">
        <w:r>
          <w:rPr>
            <w:color w:val="1D4E89"/>
            <w:u w:val="single"/>
          </w:rPr>
          <w:t>Migraciones transfronterizos cuenta propia</w:t>
        </w:r>
      </w:hyperlink>
    </w:p>
    <w:p>
      <w:pPr/>
      <w:hyperlink r:id="rId13">
        <w:r>
          <w:rPr>
            <w:color w:val="1D4E89"/>
            <w:u w:val="single"/>
          </w:rPr>
          <w:t>Reglamento de Extranjería vigente</w:t>
        </w:r>
      </w:hyperlink>
    </w:p>
    <w:p>
      <w:pPr/>
      <w:hyperlink r:id="rId14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nclusion.gob.es/web/migraciones/w/40.-autorizacion-de-trabajo-por-cuenta-ajena-para-trabajadores-transfronterizos" TargetMode="External"/><Relationship Id="rId12" Type="http://schemas.openxmlformats.org/officeDocument/2006/relationships/hyperlink" Target="https://www.inclusion.gob.es/web/migraciones/w/39.-autorizacion-de-trabajo-por-cuenta-propia-para-trabajadores-transfronterizos" TargetMode="External"/><Relationship Id="rId13" Type="http://schemas.openxmlformats.org/officeDocument/2006/relationships/hyperlink" Target="https://www.boe.es/buscar/act.php?id=BOE-A-2024-24099" TargetMode="External"/><Relationship Id="rId14" Type="http://schemas.openxmlformats.org/officeDocument/2006/relationships/hyperlink" Target="https://perezburgosabogados.es/trabajador-transfronterizo-cuenta-aje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trabajo y residencia transfronteriza</dc:title>
  <dc:subject>Ordenar domicilio exterior, regreso diario y actividad para preparar cuenta ajena o propia sin presumir residencia en España.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