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para revisar trabajo en régimen abierto</w:t>
      </w:r>
    </w:p>
    <w:p>
      <w:r>
        <w:t>Relacionar resolución penitenciaria, situación migratoria y fechas antes de estudiar la validez como autorización de trabajo.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Persona y resoluciones</w:t>
      </w:r>
    </w:p>
    <w:p>
      <w:r>
        <w:t xml:space="preserve">Persona </w:t>
      </w:r>
      <w:r>
        <w:rPr>
          <w:color w:val="1D4E89"/>
        </w:rPr>
        <w:t>[REFERENCIA PRIVADA]</w:t>
      </w:r>
      <w:r>
        <w:t xml:space="preserve">. Documento de viaje </w:t>
      </w:r>
      <w:r>
        <w:rPr>
          <w:color w:val="1D4E89"/>
        </w:rPr>
        <w:t>[TIPO Y VIGENCIA]</w:t>
      </w:r>
      <w:r>
        <w:t xml:space="preserve">. Centro o autoridad competente </w:t>
      </w:r>
      <w:r>
        <w:rPr>
          <w:color w:val="1D4E89"/>
        </w:rPr>
        <w:t>[DATOS]</w:t>
      </w:r>
      <w:r>
        <w:t xml:space="preserve">. Resolución de tercer grado o auto </w:t>
      </w:r>
      <w:r>
        <w:rPr>
          <w:color w:val="1D4E89"/>
        </w:rPr>
        <w:t>[FECHA, ÓRGANO Y REFERENCIA]</w:t>
      </w:r>
      <w:r>
        <w:t>.</w:t>
      </w:r>
    </w:p>
    <w:p>
      <w:pPr>
        <w:pStyle w:val="Heading2"/>
      </w:pPr>
      <w:r>
        <w:t>Momentos relevantes</w:t>
      </w:r>
    </w:p>
    <w:p>
      <w:r>
        <w:t xml:space="preserve">Condena </w:t>
      </w:r>
      <w:r>
        <w:rPr>
          <w:color w:val="1D4E89"/>
        </w:rPr>
        <w:t>[FECHA Y CONSTANCIA]</w:t>
      </w:r>
      <w:r>
        <w:t xml:space="preserve">. Clasificación o libertad condicional </w:t>
      </w:r>
      <w:r>
        <w:rPr>
          <w:color w:val="1D4E89"/>
        </w:rPr>
        <w:t>[FECHA Y DOCUMENTO]</w:t>
      </w:r>
      <w:r>
        <w:t xml:space="preserve">. Fecha de cumplimiento que consta </w:t>
      </w:r>
      <w:r>
        <w:rPr>
          <w:color w:val="1D4E89"/>
        </w:rPr>
        <w:t>[DATO]</w:t>
      </w:r>
      <w:r>
        <w:t xml:space="preserve">. Situación migratoria en cada momento </w:t>
      </w:r>
      <w:r>
        <w:rPr>
          <w:color w:val="1D4E89"/>
        </w:rPr>
        <w:t>[TIPO Y RESOLUCIÓN]</w:t>
      </w:r>
      <w:r>
        <w:t>.</w:t>
      </w:r>
    </w:p>
    <w:p>
      <w:pPr>
        <w:pStyle w:val="Heading2"/>
      </w:pPr>
      <w:r>
        <w:t>Supuesto migratorio a estudiar</w:t>
      </w:r>
    </w:p>
    <w:p>
      <w:r>
        <w:t xml:space="preserve">Residencia o estudios al tiempo de condena </w:t>
      </w:r>
      <w:r>
        <w:rPr>
          <w:color w:val="1D4E89"/>
        </w:rPr>
        <w:t>[PRUEBA]</w:t>
      </w:r>
      <w:r>
        <w:t xml:space="preserve">. Circunstancias excepcionales o larga duración en el momento legalmente exigido </w:t>
      </w:r>
      <w:r>
        <w:rPr>
          <w:color w:val="1D4E89"/>
        </w:rPr>
        <w:t>[HECHOS, NORMA Y DOCUMENTOS]</w:t>
      </w:r>
      <w:r>
        <w:t>. No se afirma cumplido un requisito solo por haber solicitado un permiso.</w:t>
      </w:r>
    </w:p>
    <w:p>
      <w:pPr>
        <w:pStyle w:val="Heading2"/>
      </w:pPr>
      <w:r>
        <w:t>Traslado y validez</w:t>
      </w:r>
    </w:p>
    <w:p>
      <w:r>
        <w:t xml:space="preserve">Traslado de autoridad penitenciaria </w:t>
      </w:r>
      <w:r>
        <w:rPr>
          <w:color w:val="1D4E89"/>
        </w:rPr>
        <w:t>[FECHA Y CONSTANCIA]</w:t>
      </w:r>
      <w:r>
        <w:t xml:space="preserve">. Órgano y expediente de extranjería </w:t>
      </w:r>
      <w:r>
        <w:rPr>
          <w:color w:val="1D4E89"/>
        </w:rPr>
        <w:t>[REFERENCIA]</w:t>
      </w:r>
      <w:r>
        <w:t xml:space="preserve">. EX03 y documentos </w:t>
      </w:r>
      <w:r>
        <w:rPr>
          <w:color w:val="1D4E89"/>
        </w:rPr>
        <w:t>[ESTADO]</w:t>
      </w:r>
      <w:r>
        <w:t xml:space="preserve">. Validez concedida, si existe </w:t>
      </w:r>
      <w:r>
        <w:rPr>
          <w:color w:val="1D4E89"/>
        </w:rPr>
        <w:t>[RESOLUCIÓN, EFECTOS Y FIN]</w:t>
      </w:r>
      <w:r>
        <w:t>.</w:t>
      </w:r>
    </w:p>
    <w:p>
      <w:pPr>
        <w:pStyle w:val="Heading2"/>
      </w:pPr>
      <w:r>
        <w:t>Trabajo y continuación</w:t>
      </w:r>
    </w:p>
    <w:p>
      <w:r>
        <w:t xml:space="preserve">Oferta o puesto real </w:t>
      </w:r>
      <w:r>
        <w:rPr>
          <w:color w:val="1D4E89"/>
        </w:rPr>
        <w:t>[DOCUMENTO]</w:t>
      </w:r>
      <w:r>
        <w:t xml:space="preserve">. Alta </w:t>
      </w:r>
      <w:r>
        <w:rPr>
          <w:color w:val="1D4E89"/>
        </w:rPr>
        <w:t>[ESTADO]</w:t>
      </w:r>
      <w:r>
        <w:t xml:space="preserve">. Renovación de validez </w:t>
      </w:r>
      <w:r>
        <w:rPr>
          <w:color w:val="1D4E89"/>
        </w:rPr>
        <w:t>[SOLICITUD Y RESGUARDO]</w:t>
      </w:r>
      <w:r>
        <w:t xml:space="preserve">. Incidencias penales o de extranjería a revisar </w:t>
      </w:r>
      <w:r>
        <w:rPr>
          <w:color w:val="1D4E89"/>
        </w:rPr>
        <w:t>[REFERENCIA MÍNIMA]</w:t>
      </w:r>
      <w:r>
        <w:t xml:space="preserve">. Documentos pendientes </w:t>
      </w:r>
      <w:r>
        <w:rPr>
          <w:color w:val="1D4E89"/>
        </w:rPr>
        <w:t>[ÍNDICE]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Leer la resolución completa y las fechas exigidas.</w:t>
      </w:r>
    </w:p>
    <w:p>
      <w:r>
        <w:t>• Distinguir tercer grado de validez para trabajar.</w:t>
      </w:r>
    </w:p>
    <w:p>
      <w:r>
        <w:t>• Verificar la intervención y traslado penitenciario.</w:t>
      </w:r>
    </w:p>
    <w:p>
      <w:r>
        <w:t>• No atribuir residencia a una autorización que solo permite trabajo.</w:t>
      </w:r>
    </w:p>
    <w:p>
      <w:pPr>
        <w:pStyle w:val="Heading2"/>
      </w:pPr>
      <w:r>
        <w:t>Alcance de la ficha</w:t>
      </w:r>
    </w:p>
    <w:p>
      <w:r>
        <w:t>Ficha privada de preparación. No es solicitud al juzgado, resolución penitenciaria ni autorización migratoria. No sustituye el examen penal y de extranjería. Evita incorporar datos penales innecesarios fuera del canal profesional.</w:t>
      </w:r>
    </w:p>
    <w:p>
      <w:pPr>
        <w:pStyle w:val="Heading2"/>
      </w:pPr>
      <w:r>
        <w:t>Ejemplo ficticio separado</w:t>
      </w:r>
    </w:p>
    <w:p>
      <w:r>
        <w:t>Caso ficticio: una persona en tercer grado tiene oferta. Aporta el auto y su documentación migratoria anterior. Deja pendiente comprobar el traslado y la concesión de validez; no rellena una fecha de alta ficticia.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trabajo en régimen abierto</w:t>
        </w:r>
      </w:hyperlink>
    </w:p>
    <w:p>
      <w:pPr/>
      <w:hyperlink r:id="rId12">
        <w:r>
          <w:rPr>
            <w:color w:val="1D4E89"/>
            <w:u w:val="single"/>
          </w:rPr>
          <w:t>Reglamento de Extranjería vigente</w:t>
        </w:r>
      </w:hyperlink>
    </w:p>
    <w:p>
      <w:pPr/>
      <w:hyperlink r:id="rId13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64.-autorizacion-de-trabajo-a-penados-extranjeros-en-regimen-abierto-o-libertad-condicional" TargetMode="External"/><Relationship Id="rId12" Type="http://schemas.openxmlformats.org/officeDocument/2006/relationships/hyperlink" Target="https://www.boe.es/buscar/act.php?id=BOE-A-2024-24099" TargetMode="External"/><Relationship Id="rId13" Type="http://schemas.openxmlformats.org/officeDocument/2006/relationships/hyperlink" Target="https://perezburgosabogados.es/trabajo-penados-regimen-abierto-libertad-condicion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revisar trabajo en régimen abierto</dc:title>
  <dc:subject>Relacionar resolución penitenciaria, situación migratoria y fechas antes de estudiar la validez como autorización de trabajo.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