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EXTRANJERÍA · Ficha para completar</w:t>
      </w:r>
    </w:p>
    <w:p>
      <w:pPr>
        <w:pStyle w:val="Title"/>
      </w:pPr>
      <w:r>
        <w:t>Ficha de familia para extensión o reagrupación</w:t>
      </w:r>
    </w:p>
    <w:p>
      <w:r>
        <w:t>Ordenar protección concedida, ubicación familiar y pruebas para preparar el formulario oficial y el canal correspondiente.</w:t>
      </w:r>
    </w:p>
    <w:p>
      <w:r>
        <w:t>Ficha privada de preparación para la persona interesada y la revisión del expediente</w:t>
      </w:r>
    </w:p>
    <w:p>
      <w:pPr>
        <w:pStyle w:val="Heading2"/>
      </w:pPr>
      <w:r>
        <w:t>Persona protegida</w:t>
      </w:r>
    </w:p>
    <w:p>
      <w:r>
        <w:t xml:space="preserve">Titular </w:t>
      </w:r>
      <w:r>
        <w:rPr>
          <w:color w:val="1D4E89"/>
        </w:rPr>
        <w:t>[REFERENCIA]</w:t>
      </w:r>
      <w:r>
        <w:t xml:space="preserve">. Estatuto reconocido </w:t>
      </w:r>
      <w:r>
        <w:rPr>
          <w:color w:val="1D4E89"/>
        </w:rPr>
        <w:t>[ASILO / PROTECCIÓN SUBSIDIARIA]</w:t>
      </w:r>
      <w:r>
        <w:t xml:space="preserve">. Resolución y expediente </w:t>
      </w:r>
      <w:r>
        <w:rPr>
          <w:color w:val="1D4E89"/>
        </w:rPr>
        <w:t>[DATOS]</w:t>
      </w:r>
      <w:r>
        <w:t xml:space="preserve">. Fecha de formalización de la solicitud de protección </w:t>
      </w:r>
      <w:r>
        <w:rPr>
          <w:color w:val="1D4E89"/>
        </w:rPr>
        <w:t>[DATO]</w:t>
      </w:r>
      <w:r>
        <w:t xml:space="preserve">. Contacto seguro </w:t>
      </w:r>
      <w:r>
        <w:rPr>
          <w:color w:val="1D4E89"/>
        </w:rPr>
        <w:t>[MEDIO]</w:t>
      </w:r>
      <w:r>
        <w:t>.</w:t>
      </w:r>
    </w:p>
    <w:p>
      <w:pPr>
        <w:pStyle w:val="Heading2"/>
      </w:pPr>
      <w:r>
        <w:t>Familia y ubicación</w:t>
      </w:r>
    </w:p>
    <w:p>
      <w:r>
        <w:t xml:space="preserve">Persona </w:t>
      </w:r>
      <w:r>
        <w:rPr>
          <w:color w:val="1D4E89"/>
        </w:rPr>
        <w:t>[PARENTESCO, EDAD Y NACIONALIDAD]</w:t>
      </w:r>
      <w:r>
        <w:t xml:space="preserve">. País y localidad actuales </w:t>
      </w:r>
      <w:r>
        <w:rPr>
          <w:color w:val="1D4E89"/>
        </w:rPr>
        <w:t>[DATOS NECESARIOS]</w:t>
      </w:r>
      <w:r>
        <w:t xml:space="preserve">. Identidad y vínculo </w:t>
      </w:r>
      <w:r>
        <w:rPr>
          <w:color w:val="1D4E89"/>
        </w:rPr>
        <w:t>[DOCUMENTOS]</w:t>
      </w:r>
      <w:r>
        <w:t xml:space="preserve">. Solicitud a estudiar </w:t>
      </w:r>
      <w:r>
        <w:rPr>
          <w:color w:val="1D4E89"/>
        </w:rPr>
        <w:t>[EXTENSIÓN / REAGRUPACIÓN / PENDIENTE DE REVISIÓN]</w:t>
      </w:r>
      <w:r>
        <w:t>.</w:t>
      </w:r>
    </w:p>
    <w:p>
      <w:r>
        <w:t xml:space="preserve">En España o fuera </w:t>
      </w:r>
      <w:r>
        <w:rPr>
          <w:color w:val="1D4E89"/>
        </w:rPr>
        <w:t>[SITUACIÓN REAL]</w:t>
      </w:r>
      <w:r>
        <w:t xml:space="preserve">. Consulado previsto si está fuera </w:t>
      </w:r>
      <w:r>
        <w:rPr>
          <w:color w:val="1D4E89"/>
        </w:rPr>
        <w:t>[OFICINA]</w:t>
      </w:r>
      <w:r>
        <w:t xml:space="preserve">. Otros familiares incluidos </w:t>
      </w:r>
      <w:r>
        <w:rPr>
          <w:color w:val="1D4E89"/>
        </w:rPr>
        <w:t>[REFERENCIAS]</w:t>
      </w:r>
      <w:r>
        <w:t>. No se presume derecho por figurar el parentesco en un formulario.</w:t>
      </w:r>
    </w:p>
    <w:p>
      <w:pPr>
        <w:pStyle w:val="Heading2"/>
      </w:pPr>
      <w:r>
        <w:t>Dependencia y convivencia</w:t>
      </w:r>
    </w:p>
    <w:p>
      <w:r>
        <w:t xml:space="preserve">Necesidades y apoyo </w:t>
      </w:r>
      <w:r>
        <w:rPr>
          <w:color w:val="1D4E89"/>
        </w:rPr>
        <w:t>[HECHOS Y PRUEBA]</w:t>
      </w:r>
      <w:r>
        <w:t xml:space="preserve">. Convivencia previa cuando sea exigible </w:t>
      </w:r>
      <w:r>
        <w:rPr>
          <w:color w:val="1D4E89"/>
        </w:rPr>
        <w:t>[LUGAR, PERIODO Y DOCUMENTOS]</w:t>
      </w:r>
      <w:r>
        <w:t xml:space="preserve">. Separación y desplazamientos </w:t>
      </w:r>
      <w:r>
        <w:rPr>
          <w:color w:val="1D4E89"/>
        </w:rPr>
        <w:t>[CRONOLOGÍA MÍNIMA RELEVANTE]</w:t>
      </w:r>
      <w:r>
        <w:t>.</w:t>
      </w:r>
    </w:p>
    <w:p>
      <w:pPr>
        <w:pStyle w:val="Heading2"/>
      </w:pPr>
      <w:r>
        <w:t>Documentos y dificultades</w:t>
      </w:r>
    </w:p>
    <w:p>
      <w:r>
        <w:t xml:space="preserve">Identidad </w:t>
      </w:r>
      <w:r>
        <w:rPr>
          <w:color w:val="1D4E89"/>
        </w:rPr>
        <w:t>[REFERENCIAS]</w:t>
      </w:r>
      <w:r>
        <w:t xml:space="preserve">. Parentesco </w:t>
      </w:r>
      <w:r>
        <w:rPr>
          <w:color w:val="1D4E89"/>
        </w:rPr>
        <w:t>[REFERENCIAS]</w:t>
      </w:r>
      <w:r>
        <w:t xml:space="preserve">. Formalidades </w:t>
      </w:r>
      <w:r>
        <w:rPr>
          <w:color w:val="1D4E89"/>
        </w:rPr>
        <w:t>[ESTADO]</w:t>
      </w:r>
      <w:r>
        <w:t xml:space="preserve">. Imposibilidad objetiva de obtener o legalizar documentos </w:t>
      </w:r>
      <w:r>
        <w:rPr>
          <w:color w:val="1D4E89"/>
        </w:rPr>
        <w:t>[HECHO, MOTIVO Y CONSTANCIAS]</w:t>
      </w:r>
      <w:r>
        <w:t xml:space="preserve">. Alternativas pendientes de valoración </w:t>
      </w:r>
      <w:r>
        <w:rPr>
          <w:color w:val="1D4E89"/>
        </w:rPr>
        <w:t>[DATOS]</w:t>
      </w:r>
      <w:r>
        <w:t>.</w:t>
      </w:r>
    </w:p>
    <w:p>
      <w:pPr>
        <w:pStyle w:val="Heading2"/>
      </w:pPr>
      <w:r>
        <w:t>Presentación y seguridad</w:t>
      </w:r>
    </w:p>
    <w:p>
      <w:r>
        <w:t xml:space="preserve">Formulario exterior vigente o canal de comisaría </w:t>
      </w:r>
      <w:r>
        <w:rPr>
          <w:color w:val="1D4E89"/>
        </w:rPr>
        <w:t>[COMPROBACIÓN]</w:t>
      </w:r>
      <w:r>
        <w:t xml:space="preserve">. Destinatario y código actual </w:t>
      </w:r>
      <w:r>
        <w:rPr>
          <w:color w:val="1D4E89"/>
        </w:rPr>
        <w:t>[DATOS]</w:t>
      </w:r>
      <w:r>
        <w:t xml:space="preserve">. Representación </w:t>
      </w:r>
      <w:r>
        <w:rPr>
          <w:color w:val="1D4E89"/>
        </w:rPr>
        <w:t>[DOCUMENTO]</w:t>
      </w:r>
      <w:r>
        <w:t xml:space="preserve">. Anexos en archivos separados </w:t>
      </w:r>
      <w:r>
        <w:rPr>
          <w:color w:val="1D4E89"/>
        </w:rPr>
        <w:t>[ÍNDICE]</w:t>
      </w:r>
      <w:r>
        <w:t xml:space="preserve">. Resguardo y notificación </w:t>
      </w:r>
      <w:r>
        <w:rPr>
          <w:color w:val="1D4E89"/>
        </w:rPr>
        <w:t>[REFERENCIAS]</w:t>
      </w:r>
      <w:r>
        <w:t>.</w:t>
      </w:r>
    </w:p>
    <w:p>
      <w:r>
        <w:t xml:space="preserve">Riesgo al contactar con autoridades o familiares </w:t>
      </w:r>
      <w:r>
        <w:rPr>
          <w:color w:val="1D4E89"/>
        </w:rPr>
        <w:t>[INDICAR SOLO LO NECESARIO POR CANAL SEGURO]</w:t>
      </w:r>
      <w:r>
        <w:t xml:space="preserve">. Datos pendientes </w:t>
      </w:r>
      <w:r>
        <w:rPr>
          <w:color w:val="1D4E89"/>
        </w:rPr>
        <w:t>[RELACIÓN]</w:t>
      </w:r>
      <w:r>
        <w:t>.</w:t>
      </w:r>
    </w:p>
    <w:p>
      <w:r>
        <w:t xml:space="preserve">Preparado por </w:t>
      </w:r>
      <w:r>
        <w:rPr>
          <w:color w:val="1D4E89"/>
        </w:rPr>
        <w:t>[PERSONA]</w:t>
      </w:r>
      <w:r>
        <w:t xml:space="preserve">. Fecha real de actualización </w:t>
      </w:r>
      <w:r>
        <w:rPr>
          <w:color w:val="1D4E89"/>
        </w:rPr>
        <w:t>[FECHA]</w:t>
      </w:r>
      <w:r>
        <w:t xml:space="preserve">. Documentación sin confirmar </w:t>
      </w:r>
      <w:r>
        <w:rPr>
          <w:color w:val="1D4E89"/>
        </w:rPr>
        <w:t>[RELACIÓN]</w:t>
      </w:r>
      <w:r>
        <w:t>.</w:t>
      </w:r>
    </w:p>
    <w:p>
      <w:r>
        <w:br w:type="page"/>
      </w:r>
    </w:p>
    <w:p>
      <w:pPr>
        <w:pStyle w:val="Title"/>
      </w:pPr>
      <w:r>
        <w:t>Guía de uso y comprobación</w:t>
      </w:r>
    </w:p>
    <w:p>
      <w:r>
        <w:t>Esta guía y el ejemplo quedan separados de la ficha principal. La ficha ordena datos para preparar la consulta o el expediente; no es un formulario oficial ni se presenta por sí sola.</w:t>
      </w:r>
    </w:p>
    <w:p>
      <w:pPr>
        <w:pStyle w:val="Heading2"/>
      </w:pPr>
      <w:r>
        <w:t>Cómo completar la ficha</w:t>
      </w:r>
    </w:p>
    <w:p>
      <w:r>
        <w:t>Sustituye los campos entre corchetes con hechos y documentos comprobables. Retira los apartados ajenos al caso y marca expresamente lo pendiente. Conserva la prueba a la que remite cada dato y no inventes fechas para completar la plantilla.</w:t>
      </w:r>
    </w:p>
    <w:p>
      <w:pPr>
        <w:pStyle w:val="Heading2"/>
      </w:pPr>
      <w:r>
        <w:t>Comprobaciones específicas</w:t>
      </w:r>
    </w:p>
    <w:p>
      <w:r>
        <w:t>• No usar como si la protección ya estuviera concedida cuando sigue pendiente.</w:t>
      </w:r>
    </w:p>
    <w:p>
      <w:r>
        <w:t>• Distinguir nacionalidades y efectos de extensión y reagrupación.</w:t>
      </w:r>
    </w:p>
    <w:p>
      <w:r>
        <w:t>• El formulario exterior actual no es el canal para familiares ya en España.</w:t>
      </w:r>
    </w:p>
    <w:p>
      <w:r>
        <w:t>• Revisar destinatario y contactos en la nota y formulario vigentes.</w:t>
      </w:r>
    </w:p>
    <w:p>
      <w:pPr>
        <w:pStyle w:val="Heading2"/>
      </w:pPr>
      <w:r>
        <w:t>Alcance de la ficha</w:t>
      </w:r>
    </w:p>
    <w:p>
      <w:r>
        <w:t>Ficha privada, no formulario oficial ni relato de asilo. No transmite estatuto ni autoriza viaje. No expongas aquí detalles innecesarios de persecución; acuerda con el profesional un canal seguro.</w:t>
      </w:r>
    </w:p>
    <w:p>
      <w:pPr>
        <w:pStyle w:val="Heading2"/>
      </w:pPr>
      <w:r>
        <w:t>Ejemplo ficticio separado</w:t>
      </w:r>
    </w:p>
    <w:p>
      <w:r>
        <w:t>Caso ficticio: una beneficiaria de protección subsidiaria pide reunir a su madre que vive fuera y tiene otra nacionalidad. La ficha propone revisar reagrupación, reúne pruebas de dependencia y anota el consulado previsto.</w:t>
      </w:r>
    </w:p>
    <w:p>
      <w:pPr>
        <w:pStyle w:val="Heading2"/>
      </w:pPr>
      <w:r>
        <w:t>Fuentes oficiales y guía</w:t>
      </w:r>
    </w:p>
    <w:p>
      <w:r>
        <w:t>Fuentes consultadas el 15 de octubre de 2026. Comprueba la versión vigente y las instrucciones de la oficina al realizar el trámite.</w:t>
      </w:r>
    </w:p>
    <w:p>
      <w:pPr/>
      <w:hyperlink r:id="rId11">
        <w:r>
          <w:rPr>
            <w:color w:val="1D4E89"/>
            <w:u w:val="single"/>
          </w:rPr>
          <w:t>Interior familia y protección</w:t>
        </w:r>
      </w:hyperlink>
    </w:p>
    <w:p>
      <w:pPr/>
      <w:hyperlink r:id="rId12">
        <w:r>
          <w:rPr>
            <w:color w:val="1D4E89"/>
            <w:u w:val="single"/>
          </w:rPr>
          <w:t>Interior nota informativa vigente</w:t>
        </w:r>
      </w:hyperlink>
    </w:p>
    <w:p>
      <w:pPr/>
      <w:hyperlink r:id="rId13">
        <w:r>
          <w:rPr>
            <w:color w:val="1D4E89"/>
            <w:u w:val="single"/>
          </w:rPr>
          <w:t>Ley de Asilo y Protección Subsidiaria</w:t>
        </w:r>
      </w:hyperlink>
    </w:p>
    <w:p>
      <w:pPr/>
      <w:hyperlink r:id="rId14">
        <w:r>
          <w:rPr>
            <w:color w:val="1D4E89"/>
            <w:u w:val="single"/>
          </w:rPr>
          <w:t>Guía práctica y formulario oficial cuando corresponda</w:t>
        </w:r>
      </w:hyperlink>
    </w:p>
    <w:sectPr w:rsidR="00FC693F" w:rsidRPr="0006063C" w:rsidSect="00034616">
      <w:headerReference w:type="default" r:id="rId9"/>
      <w:footerReference w:type="default" r:id="rId10"/>
      <w:pgSz w:w="11909" w:h="16834"/>
      <w:pgMar w:top="1123" w:right="1181" w:bottom="1037" w:left="1181" w:header="432" w:footer="403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jc w:val="right"/>
    </w:pPr>
    <w:r>
      <w:rPr>
        <w:rFonts w:ascii="Arial" w:hAnsi="Arial"/>
        <w:color w:val="68777D"/>
        <w:sz w:val="14"/>
      </w:rPr>
      <w:t xml:space="preserve">Modelo orientativo · Revisión profesional según el caso · perezburgosabogados.es   </w:t>
    </w:r>
    <w:r>
      <w:rPr>
        <w:rFonts w:ascii="Arial" w:hAnsi="Arial"/>
        <w:color w:val="68777D"/>
        <w:sz w:val="15"/>
      </w:rPr>
      <w:fldChar w:fldCharType="begin"/>
      <w:instrText xml:space="preserve">PAGE</w:instrText>
      <w:fldChar w:fldCharType="end"/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jc w:val="center"/>
    </w:pPr>
    <w:r>
      <w:rPr>
        <w:rFonts w:ascii="Georgia" w:hAnsi="Georgia"/>
        <w:b/>
        <w:color w:val="102E3C"/>
        <w:sz w:val="18"/>
      </w:rPr>
      <w:t>PÉREZ &amp; BURGOS</w:t>
    </w:r>
    <w:r>
      <w:rPr>
        <w:rFonts w:ascii="Arial" w:hAnsi="Arial"/>
        <w:b/>
        <w:color w:val="397CDD"/>
        <w:sz w:val="15"/>
      </w:rPr>
      <w:t xml:space="preserve">  ·  MODELOS JURÍDICOS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00" w:line="259" w:lineRule="auto"/>
      <w:jc w:val="left"/>
    </w:pPr>
    <w:rPr>
      <w:rFonts w:ascii="Arial" w:hAnsi="Arial"/>
      <w:color w:val="263A43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180" w:after="80"/>
      <w:outlineLvl w:val="0"/>
    </w:pPr>
    <w:rPr>
      <w:rFonts w:ascii="Georgia" w:hAnsi="Georgia"/>
      <w:b/>
      <w:bCs/>
      <w:color w:val="000000"/>
      <w:sz w:val="31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180" w:after="80"/>
      <w:outlineLvl w:val="1"/>
    </w:pPr>
    <w:rPr>
      <w:rFonts w:ascii="Georgia" w:hAnsi="Georgia"/>
      <w:b/>
      <w:bCs/>
      <w:color w:val="000000"/>
      <w:sz w:val="25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180" w:after="80"/>
      <w:outlineLvl w:val="2"/>
    </w:pPr>
    <w:rPr>
      <w:rFonts w:ascii="Georgia" w:hAnsi="Georgia"/>
      <w:b/>
      <w:bCs/>
      <w:color w:val="000000"/>
      <w:sz w:val="2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keepNext/>
      <w:spacing w:after="80" w:line="240" w:lineRule="auto" w:before="180"/>
      <w:contextualSpacing/>
    </w:pPr>
    <w:rPr>
      <w:rFonts w:ascii="Georgia" w:hAnsi="Georgia"/>
      <w:b/>
      <w:color w:val="000000"/>
      <w:spacing w:val="5"/>
      <w:kern w:val="28"/>
      <w:sz w:val="4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character" w:styleId="Hyperlink">
    <w:name w:val="Hyperlink"/>
    <w:basedOn w:val="DefaultParagraphFont"/>
    <w:rPr>
      <w:color w:val="2F80ED"/>
      <w:u w:val="single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Relationship Id="rId11" Type="http://schemas.openxmlformats.org/officeDocument/2006/relationships/hyperlink" Target="https://proteccion-asilo.interior.gob.es/es/proteccion-internacional/pema/extension-y-reagrupacion-familiar/" TargetMode="External"/><Relationship Id="rId12" Type="http://schemas.openxmlformats.org/officeDocument/2006/relationships/hyperlink" Target="https://proteccion-asilo.interior.gob.es/documentos/Nota_informativa_110626.pdf" TargetMode="External"/><Relationship Id="rId13" Type="http://schemas.openxmlformats.org/officeDocument/2006/relationships/hyperlink" Target="https://www.boe.es/buscar/act.php?id=BOE-A-2009-17242" TargetMode="External"/><Relationship Id="rId14" Type="http://schemas.openxmlformats.org/officeDocument/2006/relationships/hyperlink" Target="https://perezburgosabogados.es/familiares-refugiados-proteccion-subsidiaria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Ficha de familia para extensión o reagrupación</dc:title>
  <dc:subject>Ordenar protección concedida, ubicación familiar y pruebas para preparar el formulario oficial y el canal correspondiente.</dc:subject>
  <dc:creator>Pérez &amp; Burgos Abogados</dc:creator>
  <cp:keywords>Extranjería ficha editable revisión 15 octubre 2026</cp:keywords>
  <dc:description>Modelo jurídico editable de Pérez &amp; Burgos Abogados</dc:description>
  <cp:lastModifiedBy>Pérez &amp; Burgos Abogados</cp:lastModifiedBy>
  <cp:revision>1</cp:revision>
  <dcterms:created xsi:type="dcterms:W3CDTF">2013-12-23T23:15:00Z</dcterms:created>
  <dcterms:modified xsi:type="dcterms:W3CDTF">2026-10-15T18:26:07Z</dcterms:modified>
  <cp:category/>
</cp:coreProperties>
</file>