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/>
          <w:color w:val="397CDD"/>
          <w:sz w:val="18"/>
        </w:rPr>
        <w:t>EXTRANJERÍA · Ficha para completar</w:t>
      </w:r>
    </w:p>
    <w:p>
      <w:pPr>
        <w:pStyle w:val="Title"/>
      </w:pPr>
      <w:r>
        <w:t>Ficha de revisión de una denegación de visado</w:t>
      </w:r>
    </w:p>
    <w:p>
      <w:pPr/>
      <w:r>
        <w:t>Preparar una consulta con la resolución, su notificación y una respuesta documental a cada motivo sin redactar un recurso genérico.</w:t>
      </w:r>
    </w:p>
    <w:p>
      <w:pPr/>
      <w:r>
        <w:t>Ficha privada de trabajo para la persona interesada y su abogado</w:t>
      </w:r>
    </w:p>
    <w:p>
      <w:pPr>
        <w:pStyle w:val="Heading2"/>
      </w:pPr>
      <w:r>
        <w:t>Expediente y notificación</w:t>
      </w:r>
    </w:p>
    <w:p>
      <w:pPr/>
      <w:r>
        <w:t xml:space="preserve">Solicitante </w:t>
      </w:r>
      <w:r>
        <w:rPr>
          <w:b/>
          <w:color w:val="2F80ED"/>
          <w:shd w:val="clear" w:fill="EAF1FB"/>
        </w:rPr>
        <w:t>[NOMBRE]</w:t>
      </w:r>
      <w:r>
        <w:t xml:space="preserve">. Visado solicitado </w:t>
      </w:r>
      <w:r>
        <w:rPr>
          <w:b/>
          <w:color w:val="2F80ED"/>
          <w:shd w:val="clear" w:fill="EAF1FB"/>
        </w:rPr>
        <w:t>[TIPO]</w:t>
      </w:r>
      <w:r>
        <w:t xml:space="preserve">. Consulado </w:t>
      </w:r>
      <w:r>
        <w:rPr>
          <w:b/>
          <w:color w:val="2F80ED"/>
          <w:shd w:val="clear" w:fill="EAF1FB"/>
        </w:rPr>
        <w:t>[ÓRGANO]</w:t>
      </w:r>
      <w:r>
        <w:t xml:space="preserve">. Fecha y número de solicitud </w:t>
      </w:r>
      <w:r>
        <w:rPr>
          <w:b/>
          <w:color w:val="2F80ED"/>
          <w:shd w:val="clear" w:fill="EAF1FB"/>
        </w:rPr>
        <w:t>[DATOS]</w:t>
      </w:r>
      <w:r>
        <w:t xml:space="preserve">. Resolución </w:t>
      </w:r>
      <w:r>
        <w:rPr>
          <w:b/>
          <w:color w:val="2F80ED"/>
          <w:shd w:val="clear" w:fill="EAF1FB"/>
        </w:rPr>
        <w:t>[FECHA]</w:t>
      </w:r>
      <w:r>
        <w:t>.</w:t>
      </w:r>
    </w:p>
    <w:p>
      <w:pPr/>
      <w:r>
        <w:t xml:space="preserve">Notificación eficaz </w:t>
      </w:r>
      <w:r>
        <w:rPr>
          <w:b/>
          <w:color w:val="2F80ED"/>
          <w:shd w:val="clear" w:fill="EAF1FB"/>
        </w:rPr>
        <w:t>[FECHA Y FORMA]</w:t>
      </w:r>
      <w:r>
        <w:t xml:space="preserve">. Justificante </w:t>
      </w:r>
      <w:r>
        <w:rPr>
          <w:b/>
          <w:color w:val="2F80ED"/>
          <w:shd w:val="clear" w:fill="EAF1FB"/>
        </w:rPr>
        <w:t>[ARCHIVO]</w:t>
      </w:r>
      <w:r>
        <w:t xml:space="preserve">. Pie de recursos transcrito </w:t>
      </w:r>
      <w:r>
        <w:rPr>
          <w:b/>
          <w:color w:val="2F80ED"/>
          <w:shd w:val="clear" w:fill="EAF1FB"/>
        </w:rPr>
        <w:t>[TEXTO]</w:t>
      </w:r>
      <w:r>
        <w:t xml:space="preserve">. Calendario pendiente de revisión </w:t>
      </w:r>
      <w:r>
        <w:rPr>
          <w:b/>
          <w:color w:val="2F80ED"/>
          <w:shd w:val="clear" w:fill="EAF1FB"/>
        </w:rPr>
        <w:t>[DATO]</w:t>
      </w:r>
      <w:r>
        <w:t>.</w:t>
      </w:r>
    </w:p>
    <w:p>
      <w:pPr>
        <w:pStyle w:val="Heading2"/>
      </w:pPr>
      <w:r>
        <w:t>Motivos y documentos</w:t>
      </w:r>
    </w:p>
    <w:p>
      <w:pPr/>
      <w:r>
        <w:t xml:space="preserve">Motivo primero </w:t>
      </w:r>
      <w:r>
        <w:rPr>
          <w:b/>
          <w:color w:val="2F80ED"/>
          <w:shd w:val="clear" w:fill="EAF1FB"/>
        </w:rPr>
        <w:t>[TEXTO FIEL]</w:t>
      </w:r>
      <w:r>
        <w:t xml:space="preserve">. Hecho discutido </w:t>
      </w:r>
      <w:r>
        <w:rPr>
          <w:b/>
          <w:color w:val="2F80ED"/>
          <w:shd w:val="clear" w:fill="EAF1FB"/>
        </w:rPr>
        <w:t>[DATO]</w:t>
      </w:r>
      <w:r>
        <w:t xml:space="preserve">. Documento presentado inicialmente </w:t>
      </w:r>
      <w:r>
        <w:rPr>
          <w:b/>
          <w:color w:val="2F80ED"/>
          <w:shd w:val="clear" w:fill="EAF1FB"/>
        </w:rPr>
        <w:t>[REFERENCIA]</w:t>
      </w:r>
      <w:r>
        <w:t xml:space="preserve">. Prueba adicional disponible </w:t>
      </w:r>
      <w:r>
        <w:rPr>
          <w:b/>
          <w:color w:val="2F80ED"/>
          <w:shd w:val="clear" w:fill="EAF1FB"/>
        </w:rPr>
        <w:t>[REFERENCIA Y FECHA]</w:t>
      </w:r>
      <w:r>
        <w:t>.</w:t>
      </w:r>
    </w:p>
    <w:p>
      <w:pPr/>
      <w:r>
        <w:t xml:space="preserve">Motivo segundo </w:t>
      </w:r>
      <w:r>
        <w:rPr>
          <w:b/>
          <w:color w:val="2F80ED"/>
          <w:shd w:val="clear" w:fill="EAF1FB"/>
        </w:rPr>
        <w:t>[TEXTO]</w:t>
      </w:r>
      <w:r>
        <w:t xml:space="preserve">. Contestación posible basada en hechos </w:t>
      </w:r>
      <w:r>
        <w:rPr>
          <w:b/>
          <w:color w:val="2F80ED"/>
          <w:shd w:val="clear" w:fill="EAF1FB"/>
        </w:rPr>
        <w:t>[DETALLE]</w:t>
      </w:r>
      <w:r>
        <w:t xml:space="preserve">. Documento </w:t>
      </w:r>
      <w:r>
        <w:rPr>
          <w:b/>
          <w:color w:val="2F80ED"/>
          <w:shd w:val="clear" w:fill="EAF1FB"/>
        </w:rPr>
        <w:t>[DATOS]</w:t>
      </w:r>
      <w:r>
        <w:t>. Repetir para todos los motivos sin suprimir los desfavorables.</w:t>
      </w:r>
    </w:p>
    <w:p>
      <w:pPr/>
      <w:r>
        <w:t xml:space="preserve">Las contradicciones o documentos no disponibles son </w:t>
      </w:r>
      <w:r>
        <w:rPr>
          <w:b/>
          <w:color w:val="2F80ED"/>
          <w:shd w:val="clear" w:fill="EAF1FB"/>
        </w:rPr>
        <w:t>[DETALLE]</w:t>
      </w:r>
      <w:r>
        <w:t xml:space="preserve">. Las gestiones realizadas para obtenerlos son </w:t>
      </w:r>
      <w:r>
        <w:rPr>
          <w:b/>
          <w:color w:val="2F80ED"/>
          <w:shd w:val="clear" w:fill="EAF1FB"/>
        </w:rPr>
        <w:t>[FECHAS Y RESGUARDOS]</w:t>
      </w:r>
      <w:r>
        <w:t>.</w:t>
      </w:r>
    </w:p>
    <w:p>
      <w:pPr>
        <w:pStyle w:val="Heading2"/>
      </w:pPr>
      <w:r>
        <w:t>Objetivo y alternativas a estudiar</w:t>
      </w:r>
    </w:p>
    <w:p>
      <w:pPr/>
      <w:r>
        <w:t xml:space="preserve">Objetivo real </w:t>
      </w:r>
      <w:r>
        <w:rPr>
          <w:b/>
          <w:color w:val="2F80ED"/>
          <w:shd w:val="clear" w:fill="EAF1FB"/>
        </w:rPr>
        <w:t>[VIAJE, ESTUDIOS, RESIDENCIA U OTRO]</w:t>
      </w:r>
      <w:r>
        <w:t xml:space="preserve">. Fechas relevantes </w:t>
      </w:r>
      <w:r>
        <w:rPr>
          <w:b/>
          <w:color w:val="2F80ED"/>
          <w:shd w:val="clear" w:fill="EAF1FB"/>
        </w:rPr>
        <w:t>[DATOS Y PRUEBA]</w:t>
      </w:r>
      <w:r>
        <w:t xml:space="preserve">. Cambios posteriores a la solicitud </w:t>
      </w:r>
      <w:r>
        <w:rPr>
          <w:b/>
          <w:color w:val="2F80ED"/>
          <w:shd w:val="clear" w:fill="EAF1FB"/>
        </w:rPr>
        <w:t>[DETALLE]</w:t>
      </w:r>
      <w:r>
        <w:t>.</w:t>
      </w:r>
    </w:p>
    <w:p>
      <w:pPr/>
      <w:r>
        <w:t xml:space="preserve">Vías pendientes de valoración profesional </w:t>
      </w:r>
      <w:r>
        <w:rPr>
          <w:b/>
          <w:color w:val="2F80ED"/>
          <w:shd w:val="clear" w:fill="EAF1FB"/>
        </w:rPr>
        <w:t>[RECURSO ADMINISTRATIVO, JUDICIAL, NUEVA SOLICITUD U OTRA]</w:t>
      </w:r>
      <w:r>
        <w:t>. No se da por admisible ninguna de ellas sin comprobar norma y plazo.</w:t>
      </w:r>
    </w:p>
    <w:p>
      <w:pPr>
        <w:pStyle w:val="Heading2"/>
      </w:pPr>
      <w:r>
        <w:t>Índice para la consulta</w:t>
      </w:r>
    </w:p>
    <w:p>
      <w:pPr>
        <w:keepNext/>
      </w:pPr>
      <w:r>
        <w:rPr>
          <w:b/>
          <w:color w:val="2F80ED"/>
          <w:shd w:val="clear" w:fill="EAF1FB"/>
        </w:rPr>
        <w:t>[RESOLUCIÓN COMPLETA]</w:t>
      </w:r>
      <w:r>
        <w:t xml:space="preserve">. </w:t>
      </w:r>
      <w:r>
        <w:rPr>
          <w:b/>
          <w:color w:val="2F80ED"/>
          <w:shd w:val="clear" w:fill="EAF1FB"/>
        </w:rPr>
        <w:t>[NOTIFICACIÓN]</w:t>
      </w:r>
      <w:r>
        <w:t xml:space="preserve">. </w:t>
      </w:r>
      <w:r>
        <w:rPr>
          <w:b/>
          <w:color w:val="2F80ED"/>
          <w:shd w:val="clear" w:fill="EAF1FB"/>
        </w:rPr>
        <w:t>[SOLICITUD Y ANEXOS ORIGINALES]</w:t>
      </w:r>
      <w:r>
        <w:t xml:space="preserve">. </w:t>
      </w:r>
      <w:r>
        <w:rPr>
          <w:b/>
          <w:color w:val="2F80ED"/>
          <w:shd w:val="clear" w:fill="EAF1FB"/>
        </w:rPr>
        <w:t>[PRUEBA POR CADA MOTIVO]</w:t>
      </w:r>
      <w:r>
        <w:t xml:space="preserve">. </w:t>
      </w:r>
      <w:r>
        <w:rPr>
          <w:b/>
          <w:color w:val="2F80ED"/>
          <w:shd w:val="clear" w:fill="EAF1FB"/>
        </w:rPr>
        <w:t>[DATOS DE REPRESENTACIÓN]</w:t>
      </w:r>
      <w:r>
        <w:t>.</w:t>
      </w:r>
    </w:p>
    <w:p>
      <w:pPr>
        <w:keepLines/>
      </w:pPr>
      <w:r>
        <w:t xml:space="preserve">Preparado por </w:t>
      </w:r>
      <w:r>
        <w:rPr>
          <w:b/>
          <w:color w:val="2F80ED"/>
          <w:shd w:val="clear" w:fill="EAF1FB"/>
        </w:rPr>
        <w:t>[PERSONA]</w:t>
      </w:r>
      <w:r>
        <w:t xml:space="preserve">. Fecha de revisión </w:t>
      </w:r>
      <w:r>
        <w:rPr>
          <w:b/>
          <w:color w:val="2F80ED"/>
          <w:shd w:val="clear" w:fill="EAF1FB"/>
        </w:rPr>
        <w:t>[FECHA]</w:t>
      </w:r>
      <w:r>
        <w:t xml:space="preserve">. Documentos todavía pendientes </w:t>
      </w:r>
      <w:r>
        <w:rPr>
          <w:b/>
          <w:color w:val="2F80ED"/>
          <w:shd w:val="clear" w:fill="EAF1FB"/>
        </w:rPr>
        <w:t>[RELACIÓN]</w:t>
      </w:r>
      <w:r>
        <w:t>.</w:t>
      </w:r>
    </w:p>
    <w:p>
      <w:pPr>
        <w:pStyle w:val="Heading1"/>
        <w:pageBreakBefore/>
      </w:pPr>
      <w:r>
        <w:t>Guía de revisión</w:t>
      </w:r>
    </w:p>
    <w:p>
      <w:pPr/>
      <w:r>
        <w:t>NO ADJUNTAR ESTA GUÍA AL ESCRITO. Sus instrucciones y ejemplos quedan fuera del borrador o ficha principal. Completa solo los datos y alternativas que puedas comprobar.</w:t>
      </w:r>
    </w:p>
    <w:p>
      <w:pPr>
        <w:pStyle w:val="Heading2"/>
      </w:pPr>
      <w:r>
        <w:t>Instrucciones de uso</w:t>
      </w:r>
    </w:p>
    <w:p>
      <w:pPr/>
      <w:r>
        <w:t>Revisión jurídica general de 15 de octubre de 2026. Completa el borrador o ficha principal con hechos y documentos reales. Sustituye los campos entre corchetes y elimina alternativas ajenas al caso. Conserva una copia de trabajo.</w:t>
      </w:r>
    </w:p>
    <w:p>
      <w:pPr/>
      <w:r>
        <w:t>Este documento es una ficha para preparar la consulta o el expediente. No es una solicitud oficial y no se presenta como tal.</w:t>
      </w:r>
    </w:p>
    <w:p>
      <w:pPr>
        <w:pStyle w:val="Heading2"/>
      </w:pPr>
      <w:r>
        <w:t>Qué comprobar</w:t>
      </w:r>
    </w:p>
    <w:p>
      <w:pPr>
        <w:pStyle w:val="ListBullet"/>
      </w:pPr>
      <w:r>
        <w:t>No presentar esta ficha como recurso.</w:t>
      </w:r>
    </w:p>
    <w:p>
      <w:pPr>
        <w:pStyle w:val="ListBullet"/>
      </w:pPr>
      <w:r>
        <w:t>No asumir que pedir copia o volver a solicitar conserva el plazo de impugnación.</w:t>
      </w:r>
    </w:p>
    <w:p>
      <w:pPr>
        <w:pStyle w:val="ListBullet"/>
      </w:pPr>
      <w:r>
        <w:t>Distinguir hechos existentes al solicitar y cambios posteriores.</w:t>
      </w:r>
    </w:p>
    <w:p>
      <w:pPr>
        <w:pStyle w:val="ListBullet"/>
      </w:pPr>
      <w:r>
        <w:t>Entregar documentación sensible únicamente por el canal privado acordado.</w:t>
      </w:r>
    </w:p>
    <w:p>
      <w:pPr>
        <w:pStyle w:val="Heading2"/>
      </w:pPr>
      <w:r>
        <w:t>Alcance y límites</w:t>
      </w:r>
    </w:p>
    <w:p>
      <w:pPr/>
      <w:r>
        <w:t>No contiene alegaciones jurídicas definitivas ni elige por sí sola la vía. Los visados siguen regímenes distintos. Debe revisarse de inmediato si existe un plazo próximo.</w:t>
      </w:r>
    </w:p>
    <w:p>
      <w:pPr>
        <w:pStyle w:val="Heading2"/>
      </w:pPr>
      <w:r>
        <w:t>Ejemplo ficticio</w:t>
      </w:r>
    </w:p>
    <w:p>
      <w:pPr/>
      <w:r>
        <w:t>Ejemplo ficticio y orientativo. No forma parte del escrito ni acredita hechos de tu expediente.</w:t>
      </w:r>
    </w:p>
    <w:p>
      <w:pPr/>
      <w:r>
        <w:t>La decisión cita medios insuficientes y dudas sobre finalidad. Se crea una fila para cada motivo; añadir solo una invitación nueva no contesta automáticamente ambos.</w:t>
      </w:r>
    </w:p>
    <w:p>
      <w:pPr>
        <w:pStyle w:val="Heading2"/>
      </w:pPr>
      <w:r>
        <w:t>Fuentes y guía de apoyo</w:t>
      </w:r>
    </w:p>
    <w:p>
      <w:pPr/>
      <w:hyperlink r:id="rId11" w:history="1">
        <w:r>
          <w:rPr>
            <w:rStyle w:val="Hyperlink"/>
          </w:rPr>
          <w:t>Reglamento de Extranjería</w:t>
        </w:r>
      </w:hyperlink>
    </w:p>
    <w:p>
      <w:pPr/>
      <w:hyperlink r:id="rId12" w:history="1">
        <w:r>
          <w:rPr>
            <w:rStyle w:val="Hyperlink"/>
          </w:rPr>
          <w:t>Ley 39/2015</w:t>
        </w:r>
      </w:hyperlink>
    </w:p>
    <w:p>
      <w:pPr/>
      <w:hyperlink r:id="rId13" w:history="1">
        <w:r>
          <w:rPr>
            <w:rStyle w:val="Hyperlink"/>
          </w:rPr>
          <w:t>Ley 29/1998</w:t>
        </w:r>
      </w:hyperlink>
    </w:p>
    <w:p>
      <w:pPr/>
      <w:hyperlink r:id="rId14" w:history="1">
        <w:r>
          <w:rPr>
            <w:rStyle w:val="Hyperlink"/>
          </w:rPr>
          <w:t>Guía práctica relacionada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24-24099" TargetMode="External"/><Relationship Id="rId12" Type="http://schemas.openxmlformats.org/officeDocument/2006/relationships/hyperlink" Target="https://www.boe.es/buscar/act.php?id=BOE-A-2015-10565" TargetMode="External"/><Relationship Id="rId13" Type="http://schemas.openxmlformats.org/officeDocument/2006/relationships/hyperlink" Target="https://www.boe.es/buscar/act.php?id=BOE-A-1998-16718" TargetMode="External"/><Relationship Id="rId14" Type="http://schemas.openxmlformats.org/officeDocument/2006/relationships/hyperlink" Target="https://perezburgosabogados.es/denegacion-visado-recursos-prueba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revisión de una denegación de visado</dc:title>
  <dc:subject>Extranjería | Preparar una consulta con la resolución, su notificación y una respuesta documental a cada motivo sin redactar un recurso genérico.</dc:subject>
  <dc:creator>Pérez &amp; Burgos Abogados</dc:creator>
  <cp:keywords/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2026-10-15T18:26:07Z</dcterms:modified>
  <cp:category/>
</cp:coreProperties>
</file>