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Borrador para completar</w:t>
      </w:r>
    </w:p>
    <w:p>
      <w:pPr>
        <w:pStyle w:val="Title"/>
      </w:pPr>
      <w:r>
        <w:t>Comunicación de cambios en las circunstancias familiares</w:t>
      </w:r>
    </w:p>
    <w:p>
      <w:pPr/>
      <w:r>
        <w:t>Dejar constancia veraz de un cambio relevante y distinguir la comunicación de una solicitud de residencia independiente.</w:t>
      </w:r>
    </w:p>
    <w:p>
      <w:pPr/>
      <w:r>
        <w:t xml:space="preserve">A </w:t>
      </w:r>
      <w:r>
        <w:rPr>
          <w:b/>
          <w:color w:val="2F80ED"/>
          <w:shd w:val="clear" w:fill="EAF1FB"/>
        </w:rPr>
        <w:t>[OFICINA O UNIDAD COMPETENTE SEGÚN EL RÉGIMEN]</w:t>
      </w:r>
    </w:p>
    <w:p>
      <w:pPr>
        <w:pStyle w:val="Heading2"/>
      </w:pPr>
      <w:r>
        <w:t>Titular y régimen</w:t>
      </w:r>
    </w:p>
    <w:p>
      <w:pPr/>
      <w:r>
        <w:t xml:space="preserve">D./D.ª </w:t>
      </w:r>
      <w:r>
        <w:rPr>
          <w:b/>
          <w:color w:val="2F80ED"/>
          <w:shd w:val="clear" w:fill="EAF1FB"/>
        </w:rPr>
        <w:t xml:space="preserve">[NOMBRE]</w:t>
      </w:r>
      <w:r>
        <w:t xml:space="preserve">, con </w:t>
      </w:r>
      <w:r>
        <w:rPr>
          <w:b/>
          <w:color w:val="2F80ED"/>
          <w:shd w:val="clear" w:fill="EAF1FB"/>
        </w:rPr>
        <w:t xml:space="preserve">[DOCUMENTO]</w:t>
      </w:r>
      <w:r>
        <w:t xml:space="preserve">, titular de </w:t>
      </w:r>
      <w:r>
        <w:rPr>
          <w:b/>
          <w:color w:val="2F80ED"/>
          <w:shd w:val="clear" w:fill="EAF1FB"/>
        </w:rPr>
        <w:t xml:space="preserve">[TIPO EXACTO DE AUTORIZACIÓN Y RESOLUCIÓN]</w:t>
      </w:r>
      <w:r>
        <w:t xml:space="preserve">, expediente </w:t>
      </w:r>
      <w:r>
        <w:rPr>
          <w:b/>
          <w:color w:val="2F80ED"/>
          <w:shd w:val="clear" w:fill="EAF1FB"/>
        </w:rPr>
        <w:t xml:space="preserve">[NÚMERO]</w:t>
      </w:r>
      <w:r>
        <w:t xml:space="preserve">, medio de notificación </w:t>
      </w:r>
      <w:r>
        <w:rPr>
          <w:b/>
          <w:color w:val="2F80ED"/>
          <w:shd w:val="clear" w:fill="EAF1FB"/>
        </w:rPr>
        <w:t xml:space="preserve">[CANAL ELECTRÓNICO VÁLIDO O DOMICILIO, CUANDO PROCEDA]</w:t>
      </w:r>
      <w:r>
        <w:t xml:space="preserve">.</w:t>
      </w:r>
    </w:p>
    <w:p>
      <w:pPr>
        <w:pStyle w:val="Heading2"/>
      </w:pPr>
      <w:r>
        <w:t>Cambio que se comunica</w:t>
      </w:r>
    </w:p>
    <w:p>
      <w:pPr/>
      <w:r>
        <w:t xml:space="preserve">El día </w:t>
      </w:r>
      <w:r>
        <w:rPr>
          <w:b/>
          <w:color w:val="2F80ED"/>
          <w:shd w:val="clear" w:fill="EAF1FB"/>
        </w:rPr>
        <w:t>[FECHA REAL]</w:t>
      </w:r>
      <w:r>
        <w:t xml:space="preserve"> se produjo </w:t>
      </w:r>
      <w:r>
        <w:rPr>
          <w:b/>
          <w:color w:val="2F80ED"/>
          <w:shd w:val="clear" w:fill="EAF1FB"/>
        </w:rPr>
        <w:t>[DOMICILIO, NACIONALIDAD, ESTADO CIVIL, PAREJA, FALLECIMIENTO U OTRO HECHO RELEVANTE]</w:t>
      </w:r>
      <w:r>
        <w:t xml:space="preserve">. El hecho y su fecha se acreditan por </w:t>
      </w:r>
      <w:r>
        <w:rPr>
          <w:b/>
          <w:color w:val="2F80ED"/>
          <w:shd w:val="clear" w:fill="EAF1FB"/>
        </w:rPr>
        <w:t>[DOCUMENTO, EMISOR Y FECHA]</w:t>
      </w:r>
      <w:r>
        <w:t>.</w:t>
      </w:r>
    </w:p>
    <w:p>
      <w:pPr/>
      <w:r>
        <w:t xml:space="preserve">Los efectos familiares comprobados son </w:t>
      </w:r>
      <w:r>
        <w:rPr>
          <w:b/>
          <w:color w:val="2F80ED"/>
          <w:shd w:val="clear" w:fill="EAF1FB"/>
        </w:rPr>
        <w:t>[CONVIVENCIA, HIJOS, CUSTODIA U OTROS DATOS NECESARIOS]</w:t>
      </w:r>
      <w:r>
        <w:t xml:space="preserve">. Se diferencian los hechos definitivos de las actuaciones todavía en trámite </w:t>
      </w:r>
      <w:r>
        <w:rPr>
          <w:b/>
          <w:color w:val="2F80ED"/>
          <w:shd w:val="clear" w:fill="EAF1FB"/>
        </w:rPr>
        <w:t>[DETALLE]</w:t>
      </w:r>
      <w:r>
        <w:t>.</w:t>
      </w:r>
    </w:p>
    <w:p>
      <w:pPr/>
      <w:r>
        <w:t xml:space="preserve">Se han presentado o están pendientes las siguientes actuaciones relacionadas </w:t>
      </w:r>
      <w:r>
        <w:rPr>
          <w:b/>
          <w:color w:val="2F80ED"/>
          <w:shd w:val="clear" w:fill="EAF1FB"/>
        </w:rPr>
        <w:t>[SOLICITUD, COMUNICACIÓN O PROCEDIMIENTO, CON RESGUARDO SI EXISTE]</w:t>
      </w:r>
      <w:r>
        <w:t>. No se atribuye a este escrito el efecto de una autorización nueva.</w:t>
      </w:r>
    </w:p>
    <w:p>
      <w:pPr>
        <w:pStyle w:val="Heading2"/>
      </w:pPr>
      <w:r>
        <w:t>Petición</w:t>
      </w:r>
    </w:p>
    <w:p>
      <w:pPr/>
      <w:r>
        <w:t>Que se tenga por comunicada la circunstancia acreditada y se incorpore al expediente correspondiente, facilitando justificante de registro.</w:t>
      </w:r>
    </w:p>
    <w:p>
      <w:pPr/>
      <w:r>
        <w:t>Que las actuaciones posteriores se notifiquen por el medio válido indicado. Cuando se exija una solicitud o comunicación distinta, se pide que se identifique el cauce, sin dar por cumplido ese trámite por este escrito.</w:t>
      </w:r>
    </w:p>
    <w:p>
      <w:pPr>
        <w:pStyle w:val="Heading2"/>
      </w:pPr>
      <w:r>
        <w:t>Documentos</w:t>
      </w:r>
    </w:p>
    <w:p>
      <w:pPr>
        <w:keepNext/>
      </w:pPr>
      <w:r>
        <w:rPr>
          <w:b/>
          <w:color w:val="2F80ED"/>
          <w:shd w:val="clear" w:fill="EAF1FB"/>
        </w:rPr>
        <w:t>[RESOLUCIÓN Y TARJETA]</w:t>
      </w:r>
      <w:r>
        <w:t xml:space="preserve">. </w:t>
      </w:r>
      <w:r>
        <w:rPr>
          <w:b/>
          <w:color w:val="2F80ED"/>
          <w:shd w:val="clear" w:fill="EAF1FB"/>
        </w:rPr>
        <w:t>[DOCUMENTO DEL CAMBIO]</w:t>
      </w:r>
      <w:r>
        <w:t xml:space="preserve">. </w:t>
      </w:r>
      <w:r>
        <w:rPr>
          <w:b/>
          <w:color w:val="2F80ED"/>
          <w:shd w:val="clear" w:fill="EAF1FB"/>
        </w:rPr>
        <w:t>[REPRESENTACIÓN SI EXISTE]</w:t>
      </w:r>
      <w:r>
        <w:t xml:space="preserve">. </w:t>
      </w:r>
      <w:r>
        <w:rPr>
          <w:b/>
          <w:color w:val="2F80ED"/>
          <w:shd w:val="clear" w:fill="EAF1FB"/>
        </w:rPr>
        <w:t>[RESGUARDOS RELACIONADOS]</w:t>
      </w:r>
      <w:r>
        <w:t>.</w:t>
      </w:r>
    </w:p>
    <w:p>
      <w:pPr>
        <w:keepLines/>
      </w:pPr>
      <w:r>
        <w:t xml:space="preserve">En </w:t>
      </w:r>
      <w:r>
        <w:rPr>
          <w:b/>
          <w:color w:val="2F80ED"/>
          <w:shd w:val="clear" w:fill="EAF1FB"/>
        </w:rPr>
        <w:t>[LOCALIDAD]</w:t>
      </w:r>
      <w:r>
        <w:t xml:space="preserve">, a </w:t>
      </w:r>
      <w:r>
        <w:rPr>
          <w:b/>
          <w:color w:val="2F80ED"/>
          <w:shd w:val="clear" w:fill="EAF1FB"/>
        </w:rPr>
        <w:t>[FECHA REAL]</w:t>
      </w:r>
      <w:r>
        <w:t xml:space="preserve">. Firma: </w:t>
      </w:r>
      <w:r>
        <w:rPr>
          <w:b/>
          <w:color w:val="2F80ED"/>
          <w:shd w:val="clear" w:fill="EAF1FB"/>
        </w:rPr>
        <w:t>[PERSONA Y CONDICIÓN EN QUE ACTÚA]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 xml:space="preserve">La guía de uso se sitúa después del borrador principal. Retírala de la copia que se presente y verifica formulario oficial, representación, firma, tasa, canal y resguardo cuando sean necesarios. El correo y el teléfono sirven solo para avisos: indica el canal electrónico válido o domicilio cuando proceda y vigila el cauce obligatorio.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Determinar si se aplica RD 1155/2024, RD 240/2007 u otro régimen.</w:t>
      </w:r>
    </w:p>
    <w:p>
      <w:pPr>
        <w:pStyle w:val="ListBullet"/>
      </w:pPr>
      <w:r>
        <w:t xml:space="preserve">Los artículos 98 y 99 del Reglamento aprobado por RD 1155/2024 prevén obligaciones y plazos distintos; no usar una cifra universal.</w:t>
      </w:r>
    </w:p>
    <w:p>
      <w:pPr>
        <w:pStyle w:val="ListBullet"/>
      </w:pPr>
      <w:r>
        <w:t>Comprobar si hay que solicitar además residencia independiente o modificación.</w:t>
      </w:r>
    </w:p>
    <w:p>
      <w:pPr>
        <w:pStyle w:val="ListBullet"/>
      </w:pPr>
      <w:r>
        <w:t>Limitar datos de menores y salud a lo necesario para la actuación.</w:t>
      </w:r>
    </w:p>
    <w:p>
      <w:pPr>
        <w:pStyle w:val="Heading2"/>
      </w:pPr>
      <w:r>
        <w:t>Alcance y límites</w:t>
      </w:r>
    </w:p>
    <w:p>
      <w:pPr/>
      <w:r>
        <w:t>Comunicar no concede por sí solo conservación del derecho ni residencia independiente. No sustituye formularios, demandas o trámites oficiales específicos ni todas las comunicaciones a otras autoridades.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Se comunica una cancelación de pareja con su documento. La posible residencia independiente se solicita por la vía y plazo propios; no se da por obtenida por haber enviado esta comunicación.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Reglamento de Extranjería</w:t>
        </w:r>
      </w:hyperlink>
    </w:p>
    <w:p>
      <w:pPr/>
      <w:hyperlink r:id="rId12" w:history="1">
        <w:r>
          <w:rPr>
            <w:rStyle w:val="Hyperlink"/>
          </w:rPr>
          <w:t>RD 240/2007</w:t>
        </w:r>
      </w:hyperlink>
    </w:p>
    <w:p>
      <w:pPr/>
      <w:hyperlink r:id="rId13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www.boe.es/buscar/act.php?id=BOE-A-2007-4184" TargetMode="External"/><Relationship Id="rId13" Type="http://schemas.openxmlformats.org/officeDocument/2006/relationships/hyperlink" Target="https://perezburgosabogados.es/divorcio-ruptura-fallecimiento-residencia-famili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cambios en las circunstancias familiares</dc:title>
  <dc:subject>Extranjería | Dejar constancia veraz de un cambio relevante y distinguir la comunicación de una solicitud de residencia independiente.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