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color w:val="397CDD"/>
          <w:sz w:val="18"/>
        </w:rPr>
        <w:t>EXTRANJERÍA · Ficha para completar</w:t>
      </w:r>
    </w:p>
    <w:p>
      <w:pPr>
        <w:pStyle w:val="Title"/>
      </w:pPr>
      <w:r>
        <w:t>Anexo de ingresos y medios para reagrupación familiar</w:t>
      </w:r>
    </w:p>
    <w:p>
      <w:pPr/>
      <w:r>
        <w:t>Separar titulares, periodos, bruto, neto, pagas y origen de recursos sin declarar automáticamente cumplido el umbral legal.</w:t>
      </w:r>
    </w:p>
    <w:p>
      <w:pPr/>
      <w:r>
        <w:t>Anexo factual para la preparación del expediente</w:t>
      </w:r>
    </w:p>
    <w:p>
      <w:pPr>
        <w:pStyle w:val="Heading2"/>
      </w:pPr>
      <w:r>
        <w:t>Unidad familiar</w:t>
      </w:r>
    </w:p>
    <w:p>
      <w:pPr/>
      <w:r>
        <w:t xml:space="preserve">Reagrupante </w:t>
      </w:r>
      <w:r>
        <w:rPr>
          <w:b/>
          <w:color w:val="2F80ED"/>
          <w:shd w:val="clear" w:fill="EAF1FB"/>
        </w:rPr>
        <w:t>[NOMBRE]</w:t>
      </w:r>
      <w:r>
        <w:t xml:space="preserve">. Personas ya residentes que computan </w:t>
      </w:r>
      <w:r>
        <w:rPr>
          <w:b/>
          <w:color w:val="2F80ED"/>
          <w:shd w:val="clear" w:fill="EAF1FB"/>
        </w:rPr>
        <w:t>[RELACIÓN]</w:t>
      </w:r>
      <w:r>
        <w:t xml:space="preserve">. Familiares cuya reagrupación se solicita </w:t>
      </w:r>
      <w:r>
        <w:rPr>
          <w:b/>
          <w:color w:val="2F80ED"/>
          <w:shd w:val="clear" w:fill="EAF1FB"/>
        </w:rPr>
        <w:t>[RELACIÓN Y EDADES NECESARIAS]</w:t>
      </w:r>
      <w:r>
        <w:t xml:space="preserve">. Régimen </w:t>
      </w:r>
      <w:r>
        <w:rPr>
          <w:b/>
          <w:color w:val="2F80ED"/>
          <w:shd w:val="clear" w:fill="EAF1FB"/>
        </w:rPr>
        <w:t>[TIPO]</w:t>
      </w:r>
      <w:r>
        <w:t>.</w:t>
      </w:r>
    </w:p>
    <w:p>
      <w:pPr>
        <w:pStyle w:val="Heading2"/>
      </w:pPr>
      <w:r>
        <w:t>Ingresos por persona y periodo</w:t>
      </w:r>
    </w:p>
    <w:p>
      <w:pPr/>
      <w:r>
        <w:t xml:space="preserve">Ingreso primero. Titular </w:t>
      </w:r>
      <w:r>
        <w:rPr>
          <w:b/>
          <w:color w:val="2F80ED"/>
          <w:shd w:val="clear" w:fill="EAF1FB"/>
        </w:rPr>
        <w:t>[PERSONA]</w:t>
      </w:r>
      <w:r>
        <w:t xml:space="preserve">. Origen </w:t>
      </w:r>
      <w:r>
        <w:rPr>
          <w:b/>
          <w:color w:val="2F80ED"/>
          <w:shd w:val="clear" w:fill="EAF1FB"/>
        </w:rPr>
        <w:t>[TRABAJO, ACTIVIDAD U OTRO]</w:t>
      </w:r>
      <w:r>
        <w:t xml:space="preserve">. Periodo </w:t>
      </w:r>
      <w:r>
        <w:rPr>
          <w:b/>
          <w:color w:val="2F80ED"/>
          <w:shd w:val="clear" w:fill="EAF1FB"/>
        </w:rPr>
        <w:t>[FECHAS]</w:t>
      </w:r>
      <w:r>
        <w:t xml:space="preserve">. Bruto </w:t>
      </w:r>
      <w:r>
        <w:rPr>
          <w:b/>
          <w:color w:val="2F80ED"/>
          <w:shd w:val="clear" w:fill="EAF1FB"/>
        </w:rPr>
        <w:t>[IMPORTE]</w:t>
      </w:r>
      <w:r>
        <w:t xml:space="preserve">. Neto </w:t>
      </w:r>
      <w:r>
        <w:rPr>
          <w:b/>
          <w:color w:val="2F80ED"/>
          <w:shd w:val="clear" w:fill="EAF1FB"/>
        </w:rPr>
        <w:t>[IMPORTE]</w:t>
      </w:r>
      <w:r>
        <w:t xml:space="preserve">. Número de pagas </w:t>
      </w:r>
      <w:r>
        <w:rPr>
          <w:b/>
          <w:color w:val="2F80ED"/>
          <w:shd w:val="clear" w:fill="EAF1FB"/>
        </w:rPr>
        <w:t>[DATO]</w:t>
      </w:r>
      <w:r>
        <w:t xml:space="preserve">. Documento </w:t>
      </w:r>
      <w:r>
        <w:rPr>
          <w:b/>
          <w:color w:val="2F80ED"/>
          <w:shd w:val="clear" w:fill="EAF1FB"/>
        </w:rPr>
        <w:t>[REFERENCIA]</w:t>
      </w:r>
      <w:r>
        <w:t>.</w:t>
      </w:r>
    </w:p>
    <w:p>
      <w:pPr/>
      <w:r>
        <w:t xml:space="preserve">Ingreso segundo. Titular </w:t>
      </w:r>
      <w:r>
        <w:rPr>
          <w:b/>
          <w:color w:val="2F80ED"/>
          <w:shd w:val="clear" w:fill="EAF1FB"/>
        </w:rPr>
        <w:t>[PERSONA]</w:t>
      </w:r>
      <w:r>
        <w:t xml:space="preserve">. Origen </w:t>
      </w:r>
      <w:r>
        <w:rPr>
          <w:b/>
          <w:color w:val="2F80ED"/>
          <w:shd w:val="clear" w:fill="EAF1FB"/>
        </w:rPr>
        <w:t>[DATO]</w:t>
      </w:r>
      <w:r>
        <w:t xml:space="preserve">. Periodo y frecuencia </w:t>
      </w:r>
      <w:r>
        <w:rPr>
          <w:b/>
          <w:color w:val="2F80ED"/>
          <w:shd w:val="clear" w:fill="EAF1FB"/>
        </w:rPr>
        <w:t>[DATOS]</w:t>
      </w:r>
      <w:r>
        <w:t xml:space="preserve">. Importe y prueba </w:t>
      </w:r>
      <w:r>
        <w:rPr>
          <w:b/>
          <w:color w:val="2F80ED"/>
          <w:shd w:val="clear" w:fill="EAF1FB"/>
        </w:rPr>
        <w:t>[REFERENCIA]</w:t>
      </w:r>
      <w:r>
        <w:t>. Incluir solo ingresos reales y explicar cambios o interrupciones.</w:t>
      </w:r>
    </w:p>
    <w:p>
      <w:pPr/>
      <w:r>
        <w:t xml:space="preserve">Recursos que se consideran no computables o pendientes de revisar </w:t>
      </w:r>
      <w:r>
        <w:rPr>
          <w:b/>
          <w:color w:val="2F80ED"/>
          <w:shd w:val="clear" w:fill="EAF1FB"/>
        </w:rPr>
        <w:t>[RELACIÓN Y MOTIVO]</w:t>
      </w:r>
      <w:r>
        <w:t xml:space="preserve">. Fondos condicionados, préstamos y gastos comprometidos </w:t>
      </w:r>
      <w:r>
        <w:rPr>
          <w:b/>
          <w:color w:val="2F80ED"/>
          <w:shd w:val="clear" w:fill="EAF1FB"/>
        </w:rPr>
        <w:t>[DETALLE]</w:t>
      </w:r>
      <w:r>
        <w:t>.</w:t>
      </w:r>
    </w:p>
    <w:p>
      <w:pPr>
        <w:pStyle w:val="Heading2"/>
      </w:pPr>
      <w:r>
        <w:t>Comparación que debe revisarse</w:t>
      </w:r>
    </w:p>
    <w:p>
      <w:pPr/>
      <w:r>
        <w:t xml:space="preserve">Indicador y año propuesto </w:t>
      </w:r>
      <w:r>
        <w:rPr>
          <w:b/>
          <w:color w:val="2F80ED"/>
          <w:shd w:val="clear" w:fill="EAF1FB"/>
        </w:rPr>
        <w:t>[IPREM U OTRO QUE EXIJA LA NORMA]</w:t>
      </w:r>
      <w:r>
        <w:t xml:space="preserve">. Fuente oficial </w:t>
      </w:r>
      <w:r>
        <w:rPr>
          <w:b/>
          <w:color w:val="2F80ED"/>
          <w:shd w:val="clear" w:fill="EAF1FB"/>
        </w:rPr>
        <w:t>[REFERENCIA]</w:t>
      </w:r>
      <w:r>
        <w:t xml:space="preserve">. Composición familiar y multiplicador aplicable </w:t>
      </w:r>
      <w:r>
        <w:rPr>
          <w:b/>
          <w:color w:val="2F80ED"/>
          <w:shd w:val="clear" w:fill="EAF1FB"/>
        </w:rPr>
        <w:t>[PENDIENTE DE COMPROBAR]</w:t>
      </w:r>
      <w:r>
        <w:t>.</w:t>
      </w:r>
    </w:p>
    <w:p>
      <w:pPr/>
      <w:r>
        <w:t xml:space="preserve">Periodo de estabilidad examinado </w:t>
      </w:r>
      <w:r>
        <w:rPr>
          <w:b/>
          <w:color w:val="2F80ED"/>
          <w:shd w:val="clear" w:fill="EAF1FB"/>
        </w:rPr>
        <w:t>[FECHAS Y NORMA]</w:t>
      </w:r>
      <w:r>
        <w:t xml:space="preserve">. Posibles reglas especiales por menores u otras circunstancias </w:t>
      </w:r>
      <w:r>
        <w:rPr>
          <w:b/>
          <w:color w:val="2F80ED"/>
          <w:shd w:val="clear" w:fill="EAF1FB"/>
        </w:rPr>
        <w:t>[HECHO Y PRUEBA]</w:t>
      </w:r>
      <w:r>
        <w:t>. No se certifica su aplicación automática.</w:t>
      </w:r>
    </w:p>
    <w:p>
      <w:pPr>
        <w:pStyle w:val="Heading2"/>
      </w:pPr>
      <w:r>
        <w:t>Anexos y coherencia</w:t>
      </w:r>
    </w:p>
    <w:p>
      <w:pPr/>
      <w:r>
        <w:rPr>
          <w:b/>
          <w:color w:val="2F80ED"/>
          <w:shd w:val="clear" w:fill="EAF1FB"/>
        </w:rPr>
        <w:t>[CONTRATOS]</w:t>
      </w:r>
      <w:r>
        <w:t xml:space="preserve">. </w:t>
      </w:r>
      <w:r>
        <w:rPr>
          <w:b/>
          <w:color w:val="2F80ED"/>
          <w:shd w:val="clear" w:fill="EAF1FB"/>
        </w:rPr>
        <w:t>[NÓMINAS]</w:t>
      </w:r>
      <w:r>
        <w:t xml:space="preserve">. </w:t>
      </w:r>
      <w:r>
        <w:rPr>
          <w:b/>
          <w:color w:val="2F80ED"/>
          <w:shd w:val="clear" w:fill="EAF1FB"/>
        </w:rPr>
        <w:t>[VIDA LABORAL]</w:t>
      </w:r>
      <w:r>
        <w:t xml:space="preserve">. </w:t>
      </w:r>
      <w:r>
        <w:rPr>
          <w:b/>
          <w:color w:val="2F80ED"/>
          <w:shd w:val="clear" w:fill="EAF1FB"/>
        </w:rPr>
        <w:t>[ACTIVIDAD Y DECLARACIONES PERTINENTES]</w:t>
      </w:r>
      <w:r>
        <w:t xml:space="preserve">. </w:t>
      </w:r>
      <w:r>
        <w:rPr>
          <w:b/>
          <w:color w:val="2F80ED"/>
          <w:shd w:val="clear" w:fill="EAF1FB"/>
        </w:rPr>
        <w:t>[PRUEBA DE RECURSOS ADMITIDOS]</w:t>
      </w:r>
      <w:r>
        <w:t>.</w:t>
      </w:r>
    </w:p>
    <w:p>
      <w:pPr>
        <w:keepNext/>
      </w:pPr>
      <w:r>
        <w:t xml:space="preserve">Se explica cualquier diferencia entre los importes declarados y los documentos </w:t>
      </w:r>
      <w:r>
        <w:rPr>
          <w:b/>
          <w:color w:val="2F80ED"/>
          <w:shd w:val="clear" w:fill="EAF1FB"/>
        </w:rPr>
        <w:t>[DETALLE]</w:t>
      </w:r>
      <w:r>
        <w:t>. No se suma dos veces una paga ni se trata facturación como beneficio disponible sin costes.</w:t>
      </w:r>
    </w:p>
    <w:p>
      <w:pPr>
        <w:keepLines/>
      </w:pPr>
      <w:r>
        <w:t xml:space="preserve">Preparado por </w:t>
      </w:r>
      <w:r>
        <w:rPr>
          <w:b/>
          <w:color w:val="2F80ED"/>
          <w:shd w:val="clear" w:fill="EAF1FB"/>
        </w:rPr>
        <w:t>[PERSONA]</w:t>
      </w:r>
      <w:r>
        <w:t xml:space="preserve">. Fecha de revisión </w:t>
      </w:r>
      <w:r>
        <w:rPr>
          <w:b/>
          <w:color w:val="2F80ED"/>
          <w:shd w:val="clear" w:fill="EAF1FB"/>
        </w:rPr>
        <w:t>[FECHA]</w:t>
      </w:r>
      <w:r>
        <w:t xml:space="preserve">. Documentos todavía pendientes </w:t>
      </w:r>
      <w:r>
        <w:rPr>
          <w:b/>
          <w:color w:val="2F80ED"/>
          <w:shd w:val="clear" w:fill="EAF1FB"/>
        </w:rPr>
        <w:t>[RELACIÓN]</w:t>
      </w:r>
      <w:r>
        <w:t>.</w:t>
      </w:r>
    </w:p>
    <w:p>
      <w:pPr>
        <w:pStyle w:val="Heading1"/>
        <w:pageBreakBefore/>
      </w:pPr>
      <w:r>
        <w:t>Guía de revisión</w:t>
      </w:r>
    </w:p>
    <w:p>
      <w:pPr/>
      <w:r>
        <w:t>NO ADJUNTAR ESTA GUÍA AL ESCRITO. Sus instrucciones y ejemplos quedan fuera del borrador o ficha principal. Completa solo los datos y alternativas que puedas comprobar.</w:t>
      </w:r>
    </w:p>
    <w:p>
      <w:pPr>
        <w:pStyle w:val="Heading2"/>
      </w:pPr>
      <w:r>
        <w:t>Instrucciones de uso</w:t>
      </w:r>
    </w:p>
    <w:p>
      <w:pPr/>
      <w:r>
        <w:t>Revisión jurídica general de 15 de octubre de 2026. Completa el borrador o ficha principal con hechos y documentos reales. Sustituye los campos entre corchetes y elimina alternativas ajenas al caso. Conserva una copia de trabajo.</w:t>
      </w:r>
    </w:p>
    <w:p>
      <w:pPr/>
      <w:r>
        <w:t>Este documento es una ficha para preparar la consulta o el expediente. No es una solicitud oficial y no se presenta como tal.</w:t>
      </w:r>
    </w:p>
    <w:p>
      <w:pPr>
        <w:pStyle w:val="Heading2"/>
      </w:pPr>
      <w:r>
        <w:t>Qué comprobar</w:t>
      </w:r>
    </w:p>
    <w:p>
      <w:pPr>
        <w:pStyle w:val="ListBullet"/>
      </w:pPr>
      <w:r>
        <w:t>Verificar régimen general frente a familiar de español, UE o estudiante.</w:t>
      </w:r>
    </w:p>
    <w:p>
      <w:pPr>
        <w:pStyle w:val="ListBullet"/>
      </w:pPr>
      <w:r>
        <w:t>Comprobar qué titulares e ingresos admite la norma.</w:t>
      </w:r>
    </w:p>
    <w:p>
      <w:pPr>
        <w:pStyle w:val="ListBullet"/>
      </w:pPr>
      <w:r>
        <w:t>Identificar indicador vigente y no copiar una cifra antigua.</w:t>
      </w:r>
    </w:p>
    <w:p>
      <w:pPr>
        <w:pStyle w:val="ListBullet"/>
      </w:pPr>
      <w:r>
        <w:t>Distinguir recursos estables de ingresos aislados y evitar doble cómputo.</w:t>
      </w:r>
    </w:p>
    <w:p>
      <w:pPr>
        <w:pStyle w:val="Heading2"/>
      </w:pPr>
      <w:r>
        <w:t>Alcance y límites</w:t>
      </w:r>
    </w:p>
    <w:p>
      <w:pPr/>
      <w:r>
        <w:t>No es declaración fiscal ni certificado bancario ni informe favorable. El resultado económico y la suficiencia jurídica requieren revisión separada.</w:t>
      </w:r>
    </w:p>
    <w:p>
      <w:pPr>
        <w:pStyle w:val="Heading2"/>
      </w:pPr>
      <w:r>
        <w:t>Ejemplo ficticio</w:t>
      </w:r>
    </w:p>
    <w:p>
      <w:pPr/>
      <w:r>
        <w:t>Ejemplo ficticio y orientativo. No forma parte del escrito ni acredita hechos de tu expediente.</w:t>
      </w:r>
    </w:p>
    <w:p>
      <w:pPr/>
      <w:r>
        <w:t>Se reciben doce nóminas y dos pagas extra. El anexo identifica si ya están prorrateadas para evitar contarlas de nuevo al comparar el ingreso anual.</w:t>
      </w:r>
    </w:p>
    <w:p>
      <w:pPr>
        <w:pStyle w:val="Heading2"/>
      </w:pPr>
      <w:r>
        <w:t>Fuentes y guía de apoyo</w:t>
      </w:r>
    </w:p>
    <w:p>
      <w:pPr/>
      <w:hyperlink r:id="rId11" w:history="1">
        <w:r>
          <w:rPr>
            <w:rStyle w:val="Hyperlink"/>
          </w:rPr>
          <w:t>Reglamento de Extranjería</w:t>
        </w:r>
      </w:hyperlink>
    </w:p>
    <w:p>
      <w:pPr/>
      <w:hyperlink r:id="rId12" w:history="1">
        <w:r>
          <w:rPr>
            <w:rStyle w:val="Hyperlink"/>
          </w:rPr>
          <w:t>Ley Orgánica 4/2000</w:t>
        </w:r>
      </w:hyperlink>
    </w:p>
    <w:p>
      <w:pPr/>
      <w:hyperlink r:id="rId13" w:history="1">
        <w:r>
          <w:rPr>
            <w:rStyle w:val="Hyperlink"/>
          </w:rPr>
          <w:t>Guía práctica relacionada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24-24099" TargetMode="External"/><Relationship Id="rId12" Type="http://schemas.openxmlformats.org/officeDocument/2006/relationships/hyperlink" Target="https://www.boe.es/buscar/act.php?id=BOE-A-2000-544" TargetMode="External"/><Relationship Id="rId13" Type="http://schemas.openxmlformats.org/officeDocument/2006/relationships/hyperlink" Target="https://perezburgosabogados.es/reagrupacion-familiar-medios-vivien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de ingresos y medios para reagrupación familiar</dc:title>
  <dc:subject>Extranjería | Separar titulares, periodos, bruto, neto, pagas y origen de recursos sin declarar automáticamente cumplido el umbral legal.</dc:subject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2026-10-15T18:26:08Z</dcterms:modified>
  <cp:category/>
</cp:coreProperties>
</file>