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397CDD"/>
          <w:sz w:val="18"/>
        </w:rPr>
        <w:t>EXTRANJERÍA · Borrador para completar</w:t>
      </w:r>
    </w:p>
    <w:p>
      <w:pPr>
        <w:pStyle w:val="Title"/>
      </w:pPr>
      <w:r>
        <w:t>Solicitud de ampliación de plazo de subsanación</w:t>
      </w:r>
    </w:p>
    <w:p>
      <w:pPr/>
      <w:r>
        <w:t>Pedir antes del vencimiento una ampliación motivada cuando el procedimiento y la norma permitan concederla.</w:t>
      </w:r>
    </w:p>
    <w:p>
      <w:pPr/>
      <w:r>
        <w:t xml:space="preserve">A </w:t>
      </w:r>
      <w:r>
        <w:rPr>
          <w:b/>
          <w:color w:val="2F80ED"/>
          <w:shd w:val="clear" w:fill="EAF1FB"/>
        </w:rPr>
        <w:t>[ÓRGANO QUE TRAMITA EL EXPEDIENTE]</w:t>
      </w:r>
    </w:p>
    <w:p>
      <w:pPr>
        <w:pStyle w:val="Heading2"/>
      </w:pPr>
      <w:r>
        <w:t>Datos del expediente</w:t>
      </w:r>
    </w:p>
    <w:p>
      <w:pPr/>
      <w:r>
        <w:t xml:space="preserve">D./D.ª </w:t>
      </w:r>
      <w:r>
        <w:rPr>
          <w:b/>
          <w:color w:val="2F80ED"/>
          <w:shd w:val="clear" w:fill="EAF1FB"/>
        </w:rPr>
        <w:t xml:space="preserve">[NOMBRE]</w:t>
      </w:r>
      <w:r>
        <w:t xml:space="preserve">, con </w:t>
      </w:r>
      <w:r>
        <w:rPr>
          <w:b/>
          <w:color w:val="2F80ED"/>
          <w:shd w:val="clear" w:fill="EAF1FB"/>
        </w:rPr>
        <w:t xml:space="preserve">[DOCUMENTO]</w:t>
      </w:r>
      <w:r>
        <w:t xml:space="preserve">, en nombre propio o en representación acreditada de </w:t>
      </w:r>
      <w:r>
        <w:rPr>
          <w:b/>
          <w:color w:val="2F80ED"/>
          <w:shd w:val="clear" w:fill="EAF1FB"/>
        </w:rPr>
        <w:t xml:space="preserve">[PERSONA]</w:t>
      </w:r>
      <w:r>
        <w:t xml:space="preserve">, en el expediente </w:t>
      </w:r>
      <w:r>
        <w:rPr>
          <w:b/>
          <w:color w:val="2F80ED"/>
          <w:shd w:val="clear" w:fill="EAF1FB"/>
        </w:rPr>
        <w:t xml:space="preserve">[NÚMERO]</w:t>
      </w:r>
      <w:r>
        <w:t xml:space="preserve">, con medio de notificación </w:t>
      </w:r>
      <w:r>
        <w:rPr>
          <w:b/>
          <w:color w:val="2F80ED"/>
          <w:shd w:val="clear" w:fill="EAF1FB"/>
        </w:rPr>
        <w:t xml:space="preserve">[CANAL ELECTRÓNICO VÁLIDO O DOMICILIO, CUANDO PROCEDA]</w:t>
      </w:r>
      <w:r>
        <w:t xml:space="preserve">, comparece.</w:t>
      </w:r>
    </w:p>
    <w:p>
      <w:pPr>
        <w:pStyle w:val="Heading2"/>
      </w:pPr>
      <w:r>
        <w:t>Hechos</w:t>
      </w:r>
    </w:p>
    <w:p>
      <w:pPr/>
      <w:r>
        <w:t xml:space="preserve">El </w:t>
      </w:r>
      <w:r>
        <w:rPr>
          <w:b/>
          <w:color w:val="2F80ED"/>
          <w:shd w:val="clear" w:fill="EAF1FB"/>
        </w:rPr>
        <w:t>[FECHA DE NOTIFICACIÓN EFICAZ]</w:t>
      </w:r>
      <w:r>
        <w:t xml:space="preserve"> se notificó el requerimiento de </w:t>
      </w:r>
      <w:r>
        <w:rPr>
          <w:b/>
          <w:color w:val="2F80ED"/>
          <w:shd w:val="clear" w:fill="EAF1FB"/>
        </w:rPr>
        <w:t>[FECHA]</w:t>
      </w:r>
      <w:r>
        <w:t xml:space="preserve">, que solicita </w:t>
      </w:r>
      <w:r>
        <w:rPr>
          <w:b/>
          <w:color w:val="2F80ED"/>
          <w:shd w:val="clear" w:fill="EAF1FB"/>
        </w:rPr>
        <w:t>[PUNTOS CONCRETOS]</w:t>
      </w:r>
      <w:r>
        <w:t xml:space="preserve"> y concede </w:t>
      </w:r>
      <w:r>
        <w:rPr>
          <w:b/>
          <w:color w:val="2F80ED"/>
          <w:shd w:val="clear" w:fill="EAF1FB"/>
        </w:rPr>
        <w:t>[PLAZO Y UNIDAD]</w:t>
      </w:r>
      <w:r>
        <w:t xml:space="preserve">. El vencimiento comprobado es </w:t>
      </w:r>
      <w:r>
        <w:rPr>
          <w:b/>
          <w:color w:val="2F80ED"/>
          <w:shd w:val="clear" w:fill="EAF1FB"/>
        </w:rPr>
        <w:t>[FECHA Y FUNDAMENTO DEL CÓMPUTO]</w:t>
      </w:r>
      <w:r>
        <w:t>.</w:t>
      </w:r>
    </w:p>
    <w:p>
      <w:pPr/>
      <w:r>
        <w:t xml:space="preserve">Para obtener </w:t>
      </w:r>
      <w:r>
        <w:rPr>
          <w:b/>
          <w:color w:val="2F80ED"/>
          <w:shd w:val="clear" w:fill="EAF1FB"/>
        </w:rPr>
        <w:t>[DOCUMENTO]</w:t>
      </w:r>
      <w:r>
        <w:t xml:space="preserve"> se han realizado las gestiones siguientes </w:t>
      </w:r>
      <w:r>
        <w:rPr>
          <w:b/>
          <w:color w:val="2F80ED"/>
          <w:shd w:val="clear" w:fill="EAF1FB"/>
        </w:rPr>
        <w:t>[FECHAS, ORGANISMO Y REFERENCIAS]</w:t>
      </w:r>
      <w:r>
        <w:t xml:space="preserve">, acreditadas con </w:t>
      </w:r>
      <w:r>
        <w:rPr>
          <w:b/>
          <w:color w:val="2F80ED"/>
          <w:shd w:val="clear" w:fill="EAF1FB"/>
        </w:rPr>
        <w:t>[ANEXOS]</w:t>
      </w:r>
      <w:r>
        <w:t xml:space="preserve">. La dificultad objetiva consiste en </w:t>
      </w:r>
      <w:r>
        <w:rPr>
          <w:b/>
          <w:color w:val="2F80ED"/>
          <w:shd w:val="clear" w:fill="EAF1FB"/>
        </w:rPr>
        <w:t>[HECHO REAL]</w:t>
      </w:r>
      <w:r>
        <w:t xml:space="preserve"> y el documento se prevé disponible el </w:t>
      </w:r>
      <w:r>
        <w:rPr>
          <w:b/>
          <w:color w:val="2F80ED"/>
          <w:shd w:val="clear" w:fill="EAF1FB"/>
        </w:rPr>
        <w:t>[FECHA O INDICACIÓN DE QUE NO SE CONOCE]</w:t>
      </w:r>
      <w:r>
        <w:t>.</w:t>
      </w:r>
    </w:p>
    <w:p>
      <w:pPr/>
      <w:r>
        <w:t xml:space="preserve">Los extremos que ya pueden contestarse son </w:t>
      </w:r>
      <w:r>
        <w:rPr>
          <w:b/>
          <w:color w:val="2F80ED"/>
          <w:shd w:val="clear" w:fill="EAF1FB"/>
        </w:rPr>
        <w:t>[RELACIÓN]</w:t>
      </w:r>
      <w:r>
        <w:t xml:space="preserve">, que se aportan mediante </w:t>
      </w:r>
      <w:r>
        <w:rPr>
          <w:b/>
          <w:color w:val="2F80ED"/>
          <w:shd w:val="clear" w:fill="EAF1FB"/>
        </w:rPr>
        <w:t>[DOCUMENTOS]</w:t>
      </w:r>
      <w:r>
        <w:t>. No se afirma que las gestiones sustituyan el requisito material pendiente.</w:t>
      </w:r>
    </w:p>
    <w:p>
      <w:pPr>
        <w:pStyle w:val="Heading2"/>
      </w:pPr>
      <w:r>
        <w:t>Petición</w:t>
      </w:r>
    </w:p>
    <w:p>
      <w:pPr/>
      <w:r>
        <w:t xml:space="preserve">Se solicita una ampliación de </w:t>
      </w:r>
      <w:r>
        <w:rPr>
          <w:b/>
          <w:color w:val="2F80ED"/>
          <w:shd w:val="clear" w:fill="EAF1FB"/>
        </w:rPr>
        <w:t xml:space="preserve">[DURACIÓN PROPUESTA]</w:t>
      </w:r>
      <w:r>
        <w:t xml:space="preserve"> para </w:t>
      </w:r>
      <w:r>
        <w:rPr>
          <w:b/>
          <w:color w:val="2F80ED"/>
          <w:shd w:val="clear" w:fill="EAF1FB"/>
        </w:rPr>
        <w:t xml:space="preserve">[ACTUACIÓN]</w:t>
      </w:r>
      <w:r>
        <w:t xml:space="preserve">, al amparo de </w:t>
      </w:r>
      <w:r>
        <w:rPr>
          <w:b/>
          <w:color w:val="2F80ED"/>
          <w:shd w:val="clear" w:fill="EAF1FB"/>
        </w:rPr>
        <w:t xml:space="preserve">[ARTÍCULO 68.2, ARTÍCULO 32 O NORMA SECTORIAL APLICABLE, SEGÚN EL CASO]</w:t>
      </w:r>
      <w:r>
        <w:t xml:space="preserve">, por las dificultades acreditadas, dentro del límite aplicable y sin perjuicio de derechos de terceros.</w:t>
      </w:r>
    </w:p>
    <w:p>
      <w:pPr/>
      <w:r>
        <w:t xml:space="preserve">Se solicita que la decisión se adopte antes del vencimiento comprobado y se notifique por </w:t>
      </w:r>
      <w:r>
        <w:rPr>
          <w:b/>
          <w:color w:val="2F80ED"/>
          <w:shd w:val="clear" w:fill="EAF1FB"/>
        </w:rPr>
        <w:t xml:space="preserve">[CANAL O DOMICILIO VÁLIDO INDICADO]</w:t>
      </w:r>
      <w:r>
        <w:t xml:space="preserve">. La petición no concede una prórroga automática ni es un recurso contra el fondo.</w:t>
      </w:r>
    </w:p>
    <w:p>
      <w:pPr>
        <w:pStyle w:val="Heading2"/>
      </w:pPr>
      <w:r>
        <w:t>Anexos</w:t>
      </w:r>
    </w:p>
    <w:p>
      <w:pPr>
        <w:keepNext/>
      </w:pPr>
      <w:r>
        <w:rPr>
          <w:b/>
          <w:color w:val="2F80ED"/>
          <w:shd w:val="clear" w:fill="EAF1FB"/>
        </w:rPr>
        <w:t>[REQUERIMIENTO Y NOTIFICACIÓN]</w:t>
      </w:r>
      <w:r>
        <w:t xml:space="preserve">. </w:t>
      </w:r>
      <w:r>
        <w:rPr>
          <w:b/>
          <w:color w:val="2F80ED"/>
          <w:shd w:val="clear" w:fill="EAF1FB"/>
        </w:rPr>
        <w:t>[RESGUARDOS DE CERTIFICADOS]</w:t>
      </w:r>
      <w:r>
        <w:t xml:space="preserve">. </w:t>
      </w:r>
      <w:r>
        <w:rPr>
          <w:b/>
          <w:color w:val="2F80ED"/>
          <w:shd w:val="clear" w:fill="EAF1FB"/>
        </w:rPr>
        <w:t>[PRUEBA DE LA DIFICULTAD]</w:t>
      </w:r>
      <w:r>
        <w:t xml:space="preserve">. </w:t>
      </w:r>
      <w:r>
        <w:rPr>
          <w:b/>
          <w:color w:val="2F80ED"/>
          <w:shd w:val="clear" w:fill="EAF1FB"/>
        </w:rPr>
        <w:t>[DOCUMENTOS YA DISPONIBLES]</w:t>
      </w:r>
      <w:r>
        <w:t>.</w:t>
      </w:r>
    </w:p>
    <w:p>
      <w:pPr>
        <w:keepLines/>
      </w:pPr>
      <w:r>
        <w:t xml:space="preserve">En </w:t>
      </w:r>
      <w:r>
        <w:rPr>
          <w:b/>
          <w:color w:val="2F80ED"/>
          <w:shd w:val="clear" w:fill="EAF1FB"/>
        </w:rPr>
        <w:t>[LOCALIDAD]</w:t>
      </w:r>
      <w:r>
        <w:t xml:space="preserve">, a </w:t>
      </w:r>
      <w:r>
        <w:rPr>
          <w:b/>
          <w:color w:val="2F80ED"/>
          <w:shd w:val="clear" w:fill="EAF1FB"/>
        </w:rPr>
        <w:t>[FECHA REAL]</w:t>
      </w:r>
      <w:r>
        <w:t xml:space="preserve">. Firma: </w:t>
      </w:r>
      <w:r>
        <w:rPr>
          <w:b/>
          <w:color w:val="2F80ED"/>
          <w:shd w:val="clear" w:fill="EAF1FB"/>
        </w:rPr>
        <w:t>[PERSONA Y CONDICIÓN EN QUE ACTÚA]</w:t>
      </w:r>
      <w:r>
        <w:t>.</w:t>
      </w:r>
    </w:p>
    <w:p>
      <w:pPr>
        <w:pStyle w:val="Heading1"/>
        <w:pageBreakBefore/>
      </w:pPr>
      <w:r>
        <w:t>Guía de revisión</w:t>
      </w:r>
    </w:p>
    <w:p>
      <w:pPr/>
      <w:r>
        <w:t>NO ADJUNTAR ESTA GUÍA AL ESCRITO. Sus instrucciones y ejemplos quedan fuera del borrador o ficha principal. Completa solo los datos y alternativas que puedas comprobar.</w:t>
      </w:r>
    </w:p>
    <w:p>
      <w:pPr>
        <w:pStyle w:val="Heading2"/>
      </w:pPr>
      <w:r>
        <w:t>Instrucciones de uso</w:t>
      </w:r>
    </w:p>
    <w:p>
      <w:pPr/>
      <w:r>
        <w:t>Revisión jurídica general de 15 de octubre de 2026. Completa el borrador o ficha principal con hechos y documentos reales. Sustituye los campos entre corchetes y elimina alternativas ajenas al caso. Conserva una copia de trabajo.</w:t>
      </w:r>
    </w:p>
    <w:p>
      <w:pPr/>
      <w:r>
        <w:t xml:space="preserve">La guía de uso se sitúa después del borrador principal. Retírala de la copia que se presente y verifica formulario oficial, representación, firma, tasa, canal y resguardo cuando sean necesarios. El correo y el teléfono sirven solo para avisos: indica el canal electrónico válido o domicilio cuando proceda y vigila el cauce obligatorio.</w:t>
      </w:r>
    </w:p>
    <w:p>
      <w:pPr>
        <w:pStyle w:val="Heading2"/>
      </w:pPr>
      <w:r>
        <w:t>Qué comprobar</w:t>
      </w:r>
    </w:p>
    <w:p>
      <w:pPr>
        <w:pStyle w:val="ListBullet"/>
      </w:pPr>
      <w:r>
        <w:t xml:space="preserve">Petición y decisión deben preceder al vencimiento (art. 32.3); nunca se amplía un plazo ya vencido.</w:t>
      </w:r>
    </w:p>
    <w:p>
      <w:pPr>
        <w:pStyle w:val="ListBullet"/>
      </w:pPr>
      <w:r>
        <w:t xml:space="preserve">Si procede el art. 68.2: hasta cinco días por dificultades especiales para aportar documentos, fuera de procedimientos selectivos o de concurrencia competitiva.</w:t>
      </w:r>
    </w:p>
    <w:p>
      <w:pPr>
        <w:pStyle w:val="ListBullet"/>
      </w:pPr>
      <w:r>
        <w:t xml:space="preserve">Si procede el art. 32: límite de la mitad; su apartado 2 aplica el máximo a actuaciones consulares, trámites en el extranjero o interesados residentes fuera de España.</w:t>
      </w:r>
    </w:p>
    <w:p>
      <w:pPr>
        <w:pStyle w:val="ListBullet"/>
      </w:pPr>
      <w:r>
        <w:t xml:space="preserve">No sumes ambas reglas. Revisa la norma sectorial: pedir ampliación no suspende el plazo ni sustituye lo que ya puedas aportar.</w:t>
      </w:r>
    </w:p>
    <w:p>
      <w:pPr>
        <w:pStyle w:val="Heading2"/>
      </w:pPr>
      <w:r>
        <w:t>Alcance y límites</w:t>
      </w:r>
    </w:p>
    <w:p>
      <w:pPr/>
      <w:r>
        <w:t>No utilizar para ampliar un plazo de recurso, demanda, caducidad o una ventana de solicitud sin una base legal específica. No garantiza concesión. Conservar el resguardo y actuar con el calendario todavía vigente.</w:t>
      </w:r>
    </w:p>
    <w:p>
      <w:pPr>
        <w:pStyle w:val="Heading2"/>
      </w:pPr>
      <w:r>
        <w:t>Ejemplo ficticio</w:t>
      </w:r>
    </w:p>
    <w:p>
      <w:pPr/>
      <w:r>
        <w:t>Ejemplo ficticio y orientativo. No forma parte del escrito ni acredita hechos de tu expediente.</w:t>
      </w:r>
    </w:p>
    <w:p>
      <w:pPr/>
      <w:r>
        <w:t>El certificado extranjero se pidió antes del requerimiento y existe resguardo de una demora. Se explica la gestión y el tiempo adicional justificado; no se afirma que la ampliación ya esté concedida.</w:t>
      </w:r>
    </w:p>
    <w:p>
      <w:pPr>
        <w:pStyle w:val="Heading2"/>
      </w:pPr>
      <w:r>
        <w:t>Fuentes y guía de apoyo</w:t>
      </w:r>
    </w:p>
    <w:p>
      <w:pPr/>
      <w:hyperlink r:id="rId11" w:history="1">
        <w:r>
          <w:rPr>
            <w:rStyle w:val="Hyperlink"/>
          </w:rPr>
          <w:t>Ley 39/2015</w:t>
        </w:r>
      </w:hyperlink>
    </w:p>
    <w:p>
      <w:pPr/>
      <w:hyperlink r:id="rId12" w:history="1">
        <w:r>
          <w:rPr>
            <w:rStyle w:val="Hyperlink"/>
          </w:rPr>
          <w:t>Guía práctica relacionada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0565" TargetMode="External"/><Relationship Id="rId12" Type="http://schemas.openxmlformats.org/officeDocument/2006/relationships/hyperlink" Target="https://perezburgosabogados.es/subsanar-requerimiento-extranjer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ampliación de plazo de subsanación</dc:title>
  <dc:subject>Extranjería | Pedir antes del vencimiento una ampliación motivada cuando el procedimiento y la norma permitan concederla.</dc:subject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