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Mapa de preferencias apoyos y salvaguardias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Ficha privada de preparación para revisión profesional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Persona y versión: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[nombre, fecha y forma accesible de comunicación preferida]</w:t>
      </w:r>
      <w:r>
        <w:rPr>
          <w:rFonts w:ascii="Arial" w:hAnsi="Arial"/>
          <w:sz w:val="21"/>
          <w:color w:val="000000"/>
        </w:rPr>
        <w:t xml:space="preserve">. Elaborada con </w:t>
      </w:r>
      <w:r>
        <w:rPr>
          <w:rFonts w:ascii="Arial" w:hAnsi="Arial"/>
          <w:sz w:val="21"/>
          <w:color w:val="397CDD"/>
          <w:b/>
        </w:rPr>
        <w:t xml:space="preserve">[persona y relación; explicar cómo participó la persona interesada]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Objetivo expresado por la persona: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[qué quiere conseguir, mantener o evitar; diferenciar sus palabras de la interpretación de terceros]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Documentos ya existentes: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[escritura, poder, resolución, guarda de hecho u otros; fecha y ubicación de copia. Si no se sabe, indicar pendiente]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Decisión o acto concreto: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[contratar, gestionar un pago, acudir a una cita u otro acto determinado]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Qué puede decidir y realizar por sí misma: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[actuación y adaptaciones que facilitan autonomía]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Apoyo que pide o acepta: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[explicación, lectura accesible, acompañamiento o asistencia para un acto definido]</w:t>
      </w:r>
      <w:r>
        <w:rPr>
          <w:rFonts w:ascii="Arial" w:hAnsi="Arial"/>
          <w:sz w:val="21"/>
          <w:color w:val="000000"/>
        </w:rPr>
        <w:t xml:space="preserve">. Persona propuesta: </w:t>
      </w:r>
      <w:r>
        <w:rPr>
          <w:rFonts w:ascii="Arial" w:hAnsi="Arial"/>
          <w:sz w:val="21"/>
          <w:color w:val="397CDD"/>
          <w:b/>
        </w:rPr>
        <w:t xml:space="preserve">[identidad y relación]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Alcance y límites a revisar: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[actos, cuantía o condiciones; no dar por autorizada una representación que no conste en título suficiente]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Preferencias ante dificultades: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[valores, personas de confianza y decisiones que desea evitar]</w:t>
      </w:r>
      <w:r>
        <w:rPr>
          <w:rFonts w:ascii="Arial" w:hAnsi="Arial"/>
          <w:sz w:val="21"/>
          <w:color w:val="000000"/>
        </w:rPr>
        <w:t xml:space="preserve">. Situación que aún no puede determinarse: </w:t>
      </w:r>
      <w:r>
        <w:rPr>
          <w:rFonts w:ascii="Arial" w:hAnsi="Arial"/>
          <w:sz w:val="21"/>
          <w:color w:val="397CDD"/>
          <w:b/>
        </w:rPr>
        <w:t xml:space="preserve">[dato pendiente]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Conflictos e influencia indebida: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[interés propio del apoyo, desacuerdo, dependencia o riesgo observado; hechos concretos, sin diagnóstico]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Salvaguardias propuestas: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[segunda comprobación, información periódica, separación de funciones u otra medida proporcionada]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Sustitución y revisión: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[quién se propone si falta el apoyo, cambio que obliga a revisar y cuestión pendiente para notario o abogado]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Documentos pendientes y siguiente paso: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[documento, responsable y fecha de seguimiento; no plazo legal calculado]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Registro de participación: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[cómo se informó y escuchó a la persona, qué manifestó y qué quedó pendiente]</w:t>
      </w:r>
      <w:r>
        <w:rPr>
          <w:rFonts w:ascii="Arial" w:hAnsi="Arial"/>
          <w:sz w:val="21"/>
          <w:color w:val="000000"/>
        </w:rPr>
        <w:t xml:space="preserve">.</w:t>
      </w:r>
    </w:p>
    <w:p>
      <w:r>
        <w:br w:type="page"/>
      </w:r>
    </w:p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Instrucciones y ejemplo de uso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Finalidad y carácter privado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La ficha organiza una conversación y una consulta. No constituye poder, curatela, autorización sanitaria ni consentimiento por sustitución. Los apoyos se estudian por actos y necesidades, no como una declaración global de incapacidad. No adjunte historias clínicas completas si basta una referencia pertinente.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Cómo completar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Empiece por la voluntad, deseos y preferencias de la persona. Distinga lo expresado por ella de la opinión de familiares. Anote qué puede hacer de forma autónoma con adaptaciones y qué ayuda acepta. Duplique el bloque desde Decisión o acto concreto hasta Salvaguardias para cada decisión relevante.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Representación y control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No deduzca facultades de representación del parentesco o de esta ficha. Compruebe el título y sus límites. Las medidas voluntarias del artículo 255 se prevén o acuerdan en escritura pública. Necesidad, proporcionalidad, control de conflictos y máxima autonomía deben revisarse en su contexto territorial.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Ejemplo ficticio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Elena V. desea seguir eligiendo sus compras y pide apoyo para entender facturas bancarias. Propone a una sobrina para leerlas con ella, con revisión trimestral de movimientos por otra persona de confianza. Se anota que vender un inmueble requiere una consulta separada y no se da por autorizado.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Fuente y continuidad</w:t>
      </w:r>
    </w:p>
    <w:p>
      <w:pPr>
        <w:jc w:val="left"/>
        <w:widowControl/>
        <w:spacing w:after="110" w:line="276" w:lineRule="auto"/>
      </w:pPr>
      <w:hyperlink r:id="rIdModel300_16">
        <w:r>
          <w:rPr>
            <w:rFonts w:ascii="Arial" w:hAnsi="Arial"/>
            <w:sz w:val="21"/>
            <w:color w:val="397CDD"/>
          </w:rPr>
          <w:t xml:space="preserve">Código Civil artículos 249 255 y 268</w:t>
        </w:r>
      </w:hyperlink>
      <w:r>
        <w:rPr>
          <w:rFonts w:ascii="Arial" w:hAnsi="Arial"/>
          <w:sz w:val="21"/>
          <w:color w:val="000000"/>
        </w:rPr>
        <w:t xml:space="preserve">. La ficha no sustituye la escritura ni la revisión judicial aplicable. Reutilice el inventario de bienes existente para el patrimonio, manteniendo esta ficha centrada en preferencias, actos y salvaguardias.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304" w:right="1304" w:bottom="1304" w:left="1304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b/>
      <w:bCs/>
      <w:rFonts w:ascii="Arial" w:hAnsi="Arial"/>
      <w:color w:val="000000"/>
      <w:sz w:val="2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b/>
      <w:bCs/>
      <w:rFonts w:ascii="Arial" w:hAnsi="Arial"/>
      <w:color w:val="000000"/>
      <w:sz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b/>
      <w:spacing w:val="5"/>
      <w:kern w:val="28"/>
      <w:rFonts w:ascii="Arial" w:hAnsi="Arial"/>
      <w:color w:val="000000"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9-4763" TargetMode="External"/><Relationship Id="rId12" Type="http://schemas.openxmlformats.org/officeDocument/2006/relationships/hyperlink" Target="https://eur-lex.europa.eu/legal-content/ES/TXT/?uri=CELEX:32012R0650" TargetMode="External"/><Relationship Id="rId13" Type="http://schemas.openxmlformats.org/officeDocument/2006/relationships/hyperlink" Target="https://www.boe.es/buscar/act.php?id=BOE-A-1991-27678" TargetMode="External"/><Relationship Id="rId14" Type="http://schemas.openxmlformats.org/officeDocument/2006/relationships/hyperlink" Target="https://clientebancario.bde.es/pcb/es/menu-horizontal/productosservici/herencias/guia-textual/Derechodeinformacionsobrelasposicionesdelcausante/Que_informacion_769a14e11eca761.html" TargetMode="External"/><Relationship Id="rIdLibrary15" Type="http://schemas.openxmlformats.org/officeDocument/2006/relationships/hyperlink" Target="https://www.boe.es/buscar/doc.php?id=DOUE-L-2022-81573" TargetMode="External"/><Relationship Id="rIdModel300_16" Type="http://schemas.openxmlformats.org/officeDocument/2006/relationships/hyperlink" Target="https://www.boe.es/buscar/act.php?id=BOE-A-1889-47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488</Words>
  <Characters>2914</Characters>
  <Application>Codex</Application>
  <DocSecurity>0</DocSecurity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Mapa de preferencias apoyos y salvaguardias</vt:lpstr>
    </vt:vector>
  </TitlesOfParts>
  <Manager/>
  <Company/>
  <LinksUpToDate>false</LinksUpToDate>
  <CharactersWithSpaces>3402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 de preferencias apoyos y salvaguardias</dc:title>
  <dc:subject>Ficha privada preparatoria</dc:subject>
  <dc:creator/>
  <cp:keywords/>
  <dc:description>Modelo jurídico editable de Pérez &amp; Burgos Abogados</dc:description>
  <cp:lastModifiedBy/>
  <cp:revision>2</cp:revision>
  <dcterms:created xsi:type="dcterms:W3CDTF">2026-10-29T00:00:00Z</dcterms:created>
  <dcterms:modified xsi:type="dcterms:W3CDTF">2026-10-29T00:00:00Z</dcterms:modified>
  <cp:category>Familia</cp:category>
  <dc:language>es-ES</dc:language>
</cp:coreProperties>
</file>