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Mapa de deudas y garantías de la empresa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Ficha privada de preparación sin reconocimiento de saldos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Empresa y corte de información: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[denominación, forma jurídica y fecha]</w:t>
      </w:r>
      <w:r>
        <w:rPr>
          <w:rFonts w:ascii="Arial" w:hAnsi="Arial"/>
          <w:sz w:val="21"/>
          <w:color w:val="000000"/>
        </w:rPr>
        <w:t xml:space="preserve">. Persona que prepara y facultades: </w:t>
      </w:r>
      <w:r>
        <w:rPr>
          <w:rFonts w:ascii="Arial" w:hAnsi="Arial"/>
          <w:sz w:val="21"/>
          <w:color w:val="397CDD"/>
          <w:b/>
        </w:rPr>
        <w:t xml:space="preserve">[nombre, cargo y documento]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Situación que motiva la consulta: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[impagos, falta prevista de liquidez, reclamación o necesidad concreta; indicar hechos y fecha de conocimiento]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Operación: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[ID estable y contrato]</w:t>
      </w:r>
      <w:r>
        <w:rPr>
          <w:rFonts w:ascii="Arial" w:hAnsi="Arial"/>
          <w:sz w:val="21"/>
          <w:color w:val="000000"/>
        </w:rPr>
        <w:t xml:space="preserve">. Acreedor actual y gestor: </w:t>
      </w:r>
      <w:r>
        <w:rPr>
          <w:rFonts w:ascii="Arial" w:hAnsi="Arial"/>
          <w:sz w:val="21"/>
          <w:color w:val="397CDD"/>
          <w:b/>
        </w:rPr>
        <w:t xml:space="preserve">[datos y documento que acredita cada condición]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Saldo documentado: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[principal, intereses, gastos y fecha]</w:t>
      </w:r>
      <w:r>
        <w:rPr>
          <w:rFonts w:ascii="Arial" w:hAnsi="Arial"/>
          <w:sz w:val="21"/>
          <w:color w:val="000000"/>
        </w:rPr>
        <w:t xml:space="preserve">. Cantidad discutida y motivo: </w:t>
      </w:r>
      <w:r>
        <w:rPr>
          <w:rFonts w:ascii="Arial" w:hAnsi="Arial"/>
          <w:sz w:val="21"/>
          <w:color w:val="397CDD"/>
          <w:b/>
        </w:rPr>
        <w:t xml:space="preserve">[importe, razón y documento, sin reconocer lo no comprobado]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Vencimientos: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[fecha de cada pago, anticipación o reclamación y documento]</w:t>
      </w:r>
      <w:r>
        <w:rPr>
          <w:rFonts w:ascii="Arial" w:hAnsi="Arial"/>
          <w:sz w:val="21"/>
          <w:color w:val="000000"/>
        </w:rPr>
        <w:t xml:space="preserve">. Importe exigible ahora: </w:t>
      </w:r>
      <w:r>
        <w:rPr>
          <w:rFonts w:ascii="Arial" w:hAnsi="Arial"/>
          <w:sz w:val="21"/>
          <w:color w:val="397CDD"/>
          <w:b/>
        </w:rPr>
        <w:t xml:space="preserve">[dato o pendiente]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Garantías: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[hipoteca, prenda, reserva, aval u otra; bien o persona afectada y título]</w:t>
      </w:r>
      <w:r>
        <w:rPr>
          <w:rFonts w:ascii="Arial" w:hAnsi="Arial"/>
          <w:sz w:val="21"/>
          <w:color w:val="000000"/>
        </w:rPr>
        <w:t xml:space="preserve">. No duplicar el mismo préstamo como deuda adicional por su garantía.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Otros obligados: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[fiador, codeudor o sociedad vinculada; relación y límites documentados]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Estado de reclamación: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[requerimiento, demanda, apremio, embargo o negociación; órgano, referencia, recepción y documento íntegro]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Fondos y cobros previstos: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[importe, fecha, probabilidad sustentada y fuente; separar disponible de esperado]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Pagos o transmisiones recientes a revisar: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[acto, fecha, importe, destinatario y relación con la empresa]</w:t>
      </w:r>
      <w:r>
        <w:rPr>
          <w:rFonts w:ascii="Arial" w:hAnsi="Arial"/>
          <w:sz w:val="21"/>
          <w:color w:val="000000"/>
        </w:rPr>
        <w:t xml:space="preserve">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Calendario de decisión profesional: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[actuación, hecho inicial, norma o documento que fija plazo, responsable de verificar y fecha de seguimiento]</w:t>
      </w:r>
      <w:r>
        <w:rPr>
          <w:rFonts w:ascii="Arial" w:hAnsi="Arial"/>
          <w:sz w:val="21"/>
          <w:color w:val="000000"/>
        </w:rPr>
        <w:t xml:space="preserve">. No atribuir una fecha final sin ese análisis.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  <w:b/>
        </w:rPr>
        <w:t xml:space="preserve">Lagunas documentales y prioridades:</w:t>
      </w:r>
      <w:r>
        <w:rPr>
          <w:rFonts w:ascii="Arial" w:hAnsi="Arial"/>
          <w:sz w:val="21"/>
          <w:color w:val="000000"/>
        </w:rPr>
        <w:t xml:space="preserve"> </w:t>
      </w:r>
      <w:r>
        <w:rPr>
          <w:rFonts w:ascii="Arial" w:hAnsi="Arial"/>
          <w:sz w:val="21"/>
          <w:color w:val="397CDD"/>
          <w:b/>
        </w:rPr>
        <w:t xml:space="preserve">[documento, custodio, urgencia y siguiente paso]</w:t>
      </w:r>
      <w:r>
        <w:rPr>
          <w:rFonts w:ascii="Arial" w:hAnsi="Arial"/>
          <w:sz w:val="21"/>
          <w:color w:val="000000"/>
        </w:rPr>
        <w:t xml:space="preserve">.</w:t>
      </w:r>
    </w:p>
    <w:p>
      <w:r>
        <w:br w:type="page"/>
      </w:r>
    </w:p>
    <w:p>
      <w:pPr>
        <w:pStyle w:val="Title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8"/>
          <w:color w:val="000000"/>
          <w:b/>
        </w:rPr>
        <w:t xml:space="preserve">Instrucciones y ejemplo de uso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Uso y duplicación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Complete una ficha por operación y conserve un índice de IDs. Mantenga separados datos de sociedad, administrador y fiadores. La ficha no es reconocimiento de deuda, plan de reestructuración, solicitud concursal ni decisión de clasificación de créditos. No la envíe a acreedores sin revisar su contenido y finalidad.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Urgencia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Los artículos 2 y 5 del texto refundido concursal distinguen insolvencia actual e inminente y establecen deberes con plazos. El régimen general y los procedimientos especiales pueden variar las actuaciones: no espere a terminar el inventario si hay impagos, notificaciones o riesgo de insolvencia. Solicite valoración de inmediato.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Control de cifras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Anote fecha de corte y origen de cada saldo. Separe deuda acreditada, discutida y contingente. Registre liquidez real y expectativas con su incertidumbre. No sume garantías como si fuesen nuevas deudas ni use una cifra global para dar por reconocidos todos sus conceptos.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Ejemplo ficticio</w:t>
      </w:r>
    </w:p>
    <w:p>
      <w:pPr>
        <w:jc w:val="left"/>
        <w:widowControl/>
        <w:spacing w:after="110" w:line="276" w:lineRule="auto"/>
      </w:pPr>
      <w:r>
        <w:rPr>
          <w:rFonts w:ascii="Arial" w:hAnsi="Arial"/>
          <w:sz w:val="21"/>
          <w:color w:val="000000"/>
        </w:rPr>
        <w:t xml:space="preserve">Marea Taller SL registra un préstamo de 30.000 euros con saldo pendiente de confirmar y aval de una socia. Relaciona tres facturas vencidas, un cobro probable aún no recibido y la notificación íntegra de un apremio. La ficha identifica la urgencia sin calcular una fecha concursal automática.</w:t>
      </w:r>
    </w:p>
    <w:p>
      <w:pPr>
        <w:pStyle w:val="Heading1"/>
        <w:jc w:val="left"/>
        <w:widowControl/>
        <w:spacing w:after="110" w:line="276" w:lineRule="auto" w:before="180"/>
        <w:keepNext/>
        <w:keepLines/>
      </w:pPr>
      <w:r>
        <w:rPr>
          <w:rFonts w:ascii="Arial" w:hAnsi="Arial"/>
          <w:sz w:val="23"/>
          <w:color w:val="000000"/>
          <w:b/>
        </w:rPr>
        <w:t xml:space="preserve">Fuentes</w:t>
      </w:r>
    </w:p>
    <w:p>
      <w:pPr>
        <w:jc w:val="left"/>
        <w:widowControl/>
        <w:spacing w:after="110" w:line="276" w:lineRule="auto"/>
      </w:pPr>
      <w:hyperlink r:id="rIdModel300_16">
        <w:r>
          <w:rPr>
            <w:rFonts w:ascii="Arial" w:hAnsi="Arial"/>
            <w:sz w:val="21"/>
            <w:color w:val="397CDD"/>
          </w:rPr>
          <w:t xml:space="preserve">Texto refundido de la Ley Concursal artículos 2 y 5</w:t>
        </w:r>
      </w:hyperlink>
      <w:r>
        <w:rPr>
          <w:rFonts w:ascii="Arial" w:hAnsi="Arial"/>
          <w:sz w:val="21"/>
          <w:color w:val="000000"/>
        </w:rPr>
        <w:t xml:space="preserve">. Use la </w:t>
      </w:r>
      <w:hyperlink r:id="rIdModel300_17">
        <w:r>
          <w:rPr>
            <w:rFonts w:ascii="Arial" w:hAnsi="Arial"/>
            <w:sz w:val="21"/>
            <w:color w:val="397CDD"/>
          </w:rPr>
          <w:t xml:space="preserve">hoja de conservación de prueba digital</w:t>
        </w:r>
      </w:hyperlink>
      <w:r>
        <w:rPr>
          <w:rFonts w:ascii="Arial" w:hAnsi="Arial"/>
          <w:sz w:val="21"/>
          <w:color w:val="000000"/>
        </w:rPr>
        <w:t xml:space="preserve"> para registrar documentos y los modelos societarios existentes para acuerdos que procedan, sin convertir esta ficha en un acta.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304" w:right="1304" w:bottom="1304" w:left="1304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b/>
      <w:bCs/>
      <w:rFonts w:ascii="Arial" w:hAnsi="Arial"/>
      <w:color w:val="000000"/>
      <w:sz w:val="2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b/>
      <w:bCs/>
      <w:rFonts w:ascii="Arial" w:hAnsi="Arial"/>
      <w:color w:val="000000"/>
      <w:sz w:val="2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b/>
      <w:spacing w:val="5"/>
      <w:kern w:val="28"/>
      <w:rFonts w:ascii="Arial" w:hAnsi="Arial"/>
      <w:color w:val="000000"/>
      <w:sz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889-4763" TargetMode="External"/><Relationship Id="rId12" Type="http://schemas.openxmlformats.org/officeDocument/2006/relationships/hyperlink" Target="https://eur-lex.europa.eu/legal-content/ES/TXT/?uri=CELEX:32012R0650" TargetMode="External"/><Relationship Id="rId13" Type="http://schemas.openxmlformats.org/officeDocument/2006/relationships/hyperlink" Target="https://www.boe.es/buscar/act.php?id=BOE-A-1991-27678" TargetMode="External"/><Relationship Id="rId14" Type="http://schemas.openxmlformats.org/officeDocument/2006/relationships/hyperlink" Target="https://clientebancario.bde.es/pcb/es/menu-horizontal/productosservici/herencias/guia-textual/Derechodeinformacionsobrelasposicionesdelcausante/Que_informacion_769a14e11eca761.html" TargetMode="External"/><Relationship Id="rIdLibrary15" Type="http://schemas.openxmlformats.org/officeDocument/2006/relationships/hyperlink" Target="https://www.boe.es/buscar/doc.php?id=DOUE-L-2022-81573" TargetMode="External"/><Relationship Id="rIdModel300_16" Type="http://schemas.openxmlformats.org/officeDocument/2006/relationships/hyperlink" Target="https://www.boe.es/buscar/act.php?id=BOE-A-2020-4859" TargetMode="External"/><Relationship Id="rIdModel300_17" Type="http://schemas.openxmlformats.org/officeDocument/2006/relationships/hyperlink" Target="https://perezburgosabogados.es/modelo-hoja-conservacion-prueba-digit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462</Words>
  <Characters>2717</Characters>
  <Application>Codex</Application>
  <DocSecurity>0</DocSecurity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Mapa de deudas y garantías de la empresa</vt:lpstr>
    </vt:vector>
  </TitlesOfParts>
  <Manager/>
  <Company/>
  <LinksUpToDate>false</LinksUpToDate>
  <CharactersWithSpaces>3179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Mapa de deudas y garantías de la empresa</dc:title>
  <dc:subject>Ficha privada preparatoria</dc:subject>
  <dc:creator/>
  <cp:keywords/>
  <dc:description>Modelo jurídico editable de Pérez &amp; Burgos Abogados</dc:description>
  <cp:lastModifiedBy/>
  <cp:revision>2</cp:revision>
  <dcterms:created xsi:type="dcterms:W3CDTF">2026-10-29T00:00:00Z</dcterms:created>
  <dcterms:modified xsi:type="dcterms:W3CDTF">2026-10-29T00:00:00Z</dcterms:modified>
  <cp:category>Mercantil</cp:category>
  <dc:language>es-ES</dc:language>
</cp:coreProperties>
</file>