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widowControl/>
        <w:spacing w:after="100"/>
      </w:pPr>
      <w:r>
        <w:rPr>
          <w:b/>
          <w:color w:val="123D43"/>
          <w:sz w:val="18"/>
        </w:rPr>
        <w:t>INMOBILIARIO</w:t>
      </w:r>
    </w:p>
    <w:p>
      <w:pPr>
        <w:pStyle w:val="Title"/>
        <w:keepLines w:val="0"/>
        <w:widowControl/>
        <w:spacing w:after="180"/>
        <w:jc w:val="center"/>
      </w:pPr>
      <w:r>
        <w:rPr>
          <w:rFonts w:ascii="Georgia" w:hAnsi="Georgia"/>
          <w:b/>
          <w:color w:val="000000"/>
          <w:sz w:val="42"/>
        </w:rPr>
        <w:t>Lista de comprobación antes de comprar una vivienda</w:t>
      </w:r>
    </w:p>
    <w:p>
      <w:pPr>
        <w:keepLines w:val="0"/>
        <w:widowControl/>
        <w:spacing w:after="160"/>
      </w:pPr>
      <w:r>
        <w:t>Ordena lo recibido, lo que falta y quién debe comprobarlo antes de reservar, firmar arras o acudir a la escritura.</w:t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Instrucciones que debes separar de la plantilla</w:t>
      </w:r>
    </w:p>
    <w:p>
      <w:pPr>
        <w:keepLines w:val="0"/>
        <w:widowControl/>
        <w:spacing w:after="100"/>
      </w:pPr>
      <w:r>
        <w:t>Esta ficha es una herramienta interna de preparación. Marcar una casilla significa que has registrado un documento o una revisión, no que el inmueble sea legal, esté libre de cargas o no tenga defectos. No es una certificación ni una recomendación automática de comprar.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Cómo utilizarla</w:t>
      </w:r>
    </w:p>
    <w:p>
      <w:pPr>
        <w:keepLines w:val="0"/>
        <w:widowControl/>
        <w:spacing w:after="80"/>
      </w:pPr>
      <w:r>
        <w:t>Identifica la fase y los elementos incluidos en la compra. Para cada bloque anota documento, fecha, profesional o entidad que lo verifica y cuestión pendiente. Usa los estados recibido, revisado, pendiente o no aplicable con motivo. Actualiza la ficha cuando cambien las condiciones.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Qué necesita comprobación externa</w:t>
      </w:r>
    </w:p>
    <w:p>
      <w:pPr>
        <w:keepLines w:val="0"/>
        <w:widowControl/>
        <w:spacing w:after="80"/>
      </w:pPr>
      <w:r>
        <w:t>El Registro, la documentación catastral, la realidad física y el planeamiento responden a preguntas diferentes. Encarga las comprobaciones jurídicas, técnicas, fiscales o de financiación que correspondan. La petición de información no sustituye la visita, la tasación, la revisión de licencias ni la comprobación del poder de quien vende.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Ejemplo ficticio que debes eliminar</w:t>
      </w:r>
    </w:p>
    <w:p>
      <w:pPr>
        <w:keepLines w:val="0"/>
        <w:widowControl/>
        <w:spacing w:after="80"/>
      </w:pPr>
      <w:r>
        <w:t>Has recibido una nota simple de hace varios meses y una ampliación de la vivienda no aparece en el plano. Registra ambos documentos y deja pendiente su actualización y el contraste técnico y urbanístico. No marques la finca como revisada por tener una referencia catastral.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Antes de entregar dinero</w:t>
      </w:r>
    </w:p>
    <w:p>
      <w:pPr>
        <w:keepLines w:val="0"/>
        <w:widowControl/>
        <w:spacing w:after="80"/>
      </w:pPr>
      <w:r>
        <w:t>Comprueba qué obligación crea la reserva o las arras, sus plazos y qué sucede con la financiación. La falta de hipoteca no permite salir automáticamente de cualquier contrato. Si ya existe un pacto, revisa sus condiciones y la ley civil aplicable antes de tomar una decisión.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Fuentes y revisión</w:t>
      </w:r>
    </w:p>
    <w:p>
      <w:pPr>
        <w:keepLines w:val="0"/>
        <w:widowControl/>
        <w:spacing w:after="80"/>
      </w:pPr>
      <w:r>
        <w:t>RD 515/1989 para información de vivienda en su ámbito; Código Civil y, cuando corresponda, derecho civil territorial; LPH para información comunitaria. Las comprobaciones registrales y urbanísticas deben realizarse por el canal y profesional adecuados.</w:t>
      </w:r>
    </w:p>
    <w:p>
      <w:pPr>
        <w:keepLines w:val="0"/>
        <w:widowControl/>
        <w:spacing w:after="60"/>
      </w:pPr>
      <w:hyperlink r:id="rId19">
        <w:r>
          <w:rPr>
            <w:color w:val="286A85"/>
            <w:u w:val="single"/>
          </w:rPr>
          <w:t>Real Decreto 515/1989 sobre información de vivienda</w:t>
        </w:r>
      </w:hyperlink>
    </w:p>
    <w:p>
      <w:pPr>
        <w:keepLines w:val="0"/>
        <w:widowControl/>
        <w:spacing w:after="60"/>
      </w:pPr>
      <w:hyperlink r:id="rId20">
        <w:r>
          <w:rPr>
            <w:color w:val="286A85"/>
            <w:u w:val="single"/>
          </w:rPr>
          <w:t>Código Civil</w:t>
        </w:r>
      </w:hyperlink>
    </w:p>
    <w:p>
      <w:pPr>
        <w:keepLines w:val="0"/>
        <w:widowControl/>
        <w:spacing w:after="60"/>
      </w:pPr>
      <w:hyperlink r:id="rId21">
        <w:r>
          <w:rPr>
            <w:color w:val="286A85"/>
            <w:u w:val="single"/>
          </w:rPr>
          <w:t>Ley 49/1960 de Propiedad Horizontal</w:t>
        </w:r>
      </w:hyperlink>
    </w:p>
    <w:p>
      <w:pPr>
        <w:keepLines w:val="0"/>
        <w:widowControl/>
        <w:spacing w:after="60"/>
      </w:pPr>
      <w:hyperlink r:id="rId22">
        <w:r>
          <w:rPr>
            <w:color w:val="286A85"/>
            <w:u w:val="single"/>
          </w:rPr>
          <w:t>Colegio de Registradores sobre nota simple y certificación</w:t>
        </w:r>
      </w:hyperlink>
    </w:p>
    <w:p>
      <w:pPr>
        <w:keepLines w:val="0"/>
        <w:widowControl/>
        <w:spacing w:after="80"/>
      </w:pPr>
      <w:r>
        <w:t>Revisión de contenido de 28 de octubre de 2026. Completa los campos azules con hechos reales, elimina los ejemplos e instrucciones y revisa destinatario, documentos y firma. Conserva una copia y la prueba de envío o entrega cuando proceda.</w:t>
      </w:r>
    </w:p>
    <w:p>
      <w:r>
        <w:br w:type="page"/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Ficha de comprobación de una compra de vivienda</w:t>
      </w:r>
    </w:p>
    <w:p>
      <w:pPr>
        <w:keepLines w:val="0"/>
        <w:widowControl/>
      </w:pPr>
      <w:r>
        <w:t xml:space="preserve">Fecha y versión de la ficha: </w:t>
      </w:r>
      <w:r>
        <w:rPr>
          <w:color w:val="397CDD"/>
        </w:rPr>
        <w:t>[FECHA]</w:t>
      </w:r>
      <w:r>
        <w:t xml:space="preserve">. Persona que la prepara: </w:t>
      </w:r>
      <w:r>
        <w:rPr>
          <w:color w:val="397CDD"/>
        </w:rPr>
        <w:t>[NOMBRE]</w:t>
      </w:r>
      <w:r>
        <w:t xml:space="preserve">. Vivienda y anexos: </w:t>
      </w:r>
      <w:r>
        <w:rPr>
          <w:color w:val="397CDD"/>
        </w:rPr>
        <w:t>[DIRECCIÓN E IDENTIFICACIÓN]</w:t>
      </w:r>
      <w:r>
        <w:t xml:space="preserve">. Fase: </w:t>
      </w:r>
      <w:r>
        <w:rPr>
          <w:color w:val="397CDD"/>
        </w:rPr>
        <w:t>[VISITA, RESERVA, ARRAS O ESCRITURA]</w:t>
      </w:r>
      <w:r>
        <w:t xml:space="preserve">. Fecha próxima que no debes perder: </w:t>
      </w:r>
      <w:r>
        <w:rPr>
          <w:color w:val="397CDD"/>
        </w:rPr>
        <w:t>[FECHA Y MOTIVO]</w:t>
      </w:r>
      <w:r>
        <w:t>.</w:t>
      </w:r>
    </w:p>
    <w:p>
      <w:pPr>
        <w:keepLines w:val="0"/>
        <w:widowControl/>
      </w:pPr>
      <w:r>
        <w:t>Estados: RECIBIDO acredita que tienes un documento; REVISADO debe indicar por quién y con qué alcance; PENDIENTE exige una acción; NO APLICA requiere motivo. No marques un bloque como revisado por una explicación verbal no contrastada.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Quién vende y qué se compra</w:t>
      </w:r>
    </w:p>
    <w:p>
      <w:pPr>
        <w:keepNext/>
        <w:keepLines w:val="0"/>
        <w:widowControl/>
        <w:spacing w:after="60"/>
      </w:pPr>
      <w:r>
        <w:t>Titulares, representación, consentimiento necesario, vivienda, garaje, trastero y anexos. Contrasta su identificación y qué elementos se incluyen en el precio.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Registro Catastro y realidad</w:t>
      </w:r>
    </w:p>
    <w:p>
      <w:pPr>
        <w:keepNext/>
        <w:keepLines w:val="0"/>
        <w:widowControl/>
        <w:spacing w:after="60"/>
      </w:pPr>
      <w:r>
        <w:t>Información registral actual, cargas y derechos; referencia y datos catastrales; superficies, linderos y realidad física. Registra cada diferencia y quién la comprobará.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Posesión y ocupantes</w:t>
      </w:r>
    </w:p>
    <w:p>
      <w:pPr>
        <w:keepNext/>
        <w:keepLines w:val="0"/>
        <w:widowControl/>
        <w:spacing w:after="60"/>
      </w:pPr>
      <w:r>
        <w:t>Quién ocupa, con qué título, qué documentación lo acredita y cómo se entregará la posesión. Revisa derechos de terceros y situaciones que condicionen la compra.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Comunidad y pagos del inmueble</w:t>
      </w:r>
    </w:p>
    <w:p>
      <w:pPr>
        <w:keepNext/>
        <w:keepLines w:val="0"/>
        <w:widowControl/>
        <w:spacing w:after="60"/>
      </w:pPr>
      <w:r>
        <w:t>Certificado o información pertinente de comunidad, derramas, IBI, suministros y gastos. Distingue lo ya pagado de lo pendiente y de cualquier distribución pactada.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Urbanismo obras y uso previsto</w:t>
      </w:r>
    </w:p>
    <w:p>
      <w:pPr>
        <w:keepNext/>
        <w:keepLines w:val="0"/>
        <w:widowControl/>
        <w:spacing w:after="60"/>
      </w:pPr>
      <w:r>
        <w:t>Licencias o actos equivalentes, obras o ampliaciones, expedientes, protección del inmueble y uso permitido. Comprueba el destino que quieres darle con la administración o el profesional competente.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Estado técnico y documentación</w:t>
      </w:r>
    </w:p>
    <w:p>
      <w:pPr>
        <w:keepNext/>
        <w:keepLines w:val="0"/>
        <w:widowControl/>
        <w:spacing w:after="60"/>
      </w:pPr>
      <w:r>
        <w:t>Visita, defectos visibles, informe técnico cuando proceda, instalaciones, certificado energético, inspecciones y documentación de ocupación. La tasación hipotecaria no sustituye todas estas comprobaciones.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Precio financiación y anticipos</w:t>
      </w:r>
    </w:p>
    <w:p>
      <w:pPr>
        <w:keepNext/>
        <w:keepLines w:val="0"/>
        <w:widowControl/>
        <w:spacing w:after="60"/>
      </w:pPr>
      <w:r>
        <w:t>Precio total, gastos y tributos aplicables, financiación, plazos y destinatario del dinero. En obra nueva revisa las garantías de los anticipos que correspondan.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Reserva arras y contrato</w:t>
      </w:r>
    </w:p>
    <w:p>
      <w:pPr>
        <w:keepNext/>
        <w:keepLines w:val="0"/>
        <w:widowControl/>
        <w:spacing w:after="60"/>
      </w:pPr>
      <w:r>
        <w:t>Texto completo y anexos, naturaleza de las arras, condición de financiación si existe, fechas, cancelación de cargas, posesión, incumplimiento y ley civil aplicable.</w:t>
      </w:r>
    </w:p>
    <w:p>
      <w:pPr>
        <w:keepLines/>
        <w:widowControl/>
        <w:spacing w:after="100"/>
      </w:pPr>
      <w:r>
        <w:t xml:space="preserve">Estado: </w:t>
      </w:r>
      <w:r>
        <w:rPr>
          <w:color w:val="397CDD"/>
        </w:rPr>
        <w:t>[RECIBIDO, REVISADO, PENDIENTE O NO APLICA]</w:t>
      </w:r>
      <w:r>
        <w:t xml:space="preserve">. Documento y fecha: </w:t>
      </w:r>
      <w:r>
        <w:rPr>
          <w:color w:val="397CDD"/>
        </w:rPr>
        <w:t>[REFERENCIA]</w:t>
      </w:r>
      <w:r>
        <w:t xml:space="preserve">. Verificado por y alcance: </w:t>
      </w:r>
      <w:r>
        <w:rPr>
          <w:color w:val="397CDD"/>
        </w:rPr>
        <w:t>[PERSONA O ENTIDAD Y COMPROBACIÓN]</w:t>
      </w:r>
      <w:r>
        <w:t xml:space="preserve">. Pendiente y siguiente acción: </w:t>
      </w:r>
      <w:r>
        <w:rPr>
          <w:color w:val="397CDD"/>
        </w:rPr>
        <w:t>[ACTUACIÓN, RESPONSABLE Y FECHA]</w:t>
      </w:r>
      <w:r>
        <w:t>.</w:t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Resumen antes de decidir</w:t>
      </w:r>
    </w:p>
    <w:p>
      <w:pPr>
        <w:keepLines w:val="0"/>
        <w:widowControl/>
      </w:pPr>
      <w:r>
        <w:t xml:space="preserve">Cuestiones aún no aclaradas que pueden afectar al contrato, al dinero o al uso previsto: </w:t>
      </w:r>
      <w:r>
        <w:rPr>
          <w:color w:val="397CDD"/>
        </w:rPr>
        <w:t>[RELACIÓN]</w:t>
      </w:r>
      <w:r>
        <w:t xml:space="preserve">. Comprobaciones que debes encargar o completar: </w:t>
      </w:r>
      <w:r>
        <w:rPr>
          <w:color w:val="397CDD"/>
        </w:rPr>
        <w:t>[ACTUACIONES Y PROFESIONAL]</w:t>
      </w:r>
      <w:r>
        <w:t xml:space="preserve">. Próximo vencimiento contractual o trámite: </w:t>
      </w:r>
      <w:r>
        <w:rPr>
          <w:color w:val="397CDD"/>
        </w:rPr>
        <w:t>[FECHA Y QUIÉN LO HA COMPROBADO]</w:t>
      </w:r>
      <w:r>
        <w:t>.</w:t>
      </w:r>
    </w:p>
    <w:p>
      <w:pPr>
        <w:keepLines w:val="0"/>
        <w:widowControl/>
      </w:pPr>
      <w:r>
        <w:t xml:space="preserve">Documentación nueva o cambios respecto de la última versión: </w:t>
      </w:r>
      <w:r>
        <w:rPr>
          <w:color w:val="397CDD"/>
        </w:rPr>
        <w:t>[DETALLE]</w:t>
      </w:r>
      <w:r>
        <w:t xml:space="preserve">. Decisiones que requieren asesoramiento antes de asumir una obligación: </w:t>
      </w:r>
      <w:r>
        <w:rPr>
          <w:color w:val="397CDD"/>
        </w:rPr>
        <w:t>[DETALLE]</w:t>
      </w:r>
      <w:r>
        <w:t>. Guarda esta ficha con los documentos identificados y vuelve a revisarla si cambia la operación.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04-18911" TargetMode="External"/><Relationship Id="rId12" Type="http://schemas.openxmlformats.org/officeDocument/2006/relationships/hyperlink" Target="https://www.boe.es/diario_boe/txt.php?id=BOE-A-2025-15424" TargetMode="External"/><Relationship Id="rId13" Type="http://schemas.openxmlformats.org/officeDocument/2006/relationships/hyperlink" Target="https://www.boe.es/buscar/act.php?id=BOE-A-2002-22188" TargetMode="External"/><Relationship Id="rId14" Type="http://schemas.openxmlformats.org/officeDocument/2006/relationships/hyperlink" Target="https://perezburgosabogados.es/modelo-cronologia-medica-laboral-y-economica-del-perjudicado/" TargetMode="External"/><Relationship Id="rId15" Type="http://schemas.openxmlformats.org/officeDocument/2006/relationships/hyperlink" Target="https://perezburgosabogados.es/documentos-reclamar-accidente-trafico/" TargetMode="External"/><Relationship Id="rId16" Type="http://schemas.openxmlformats.org/officeDocument/2006/relationships/hyperlink" Target="https://perezburgosabogados.es/secuelas-puntos-baremo-accidente-trafico/" TargetMode="External"/><Relationship Id="rId17" Type="http://schemas.openxmlformats.org/officeDocument/2006/relationships/hyperlink" Target="https://perezburgosabogados.es/gastos-futuros-accidente-trafico/" TargetMode="External"/><Relationship Id="rId18" Type="http://schemas.openxmlformats.org/officeDocument/2006/relationships/hyperlink" Target="https://perezburgosabogados.es/servicios/reclamar-accidente-trafico/" TargetMode="External"/><Relationship Id="rId19" Type="http://schemas.openxmlformats.org/officeDocument/2006/relationships/hyperlink" Target="https://www.boe.es/buscar/act.php?id=BOE-A-1989-11181" TargetMode="External"/><Relationship Id="rId20" Type="http://schemas.openxmlformats.org/officeDocument/2006/relationships/hyperlink" Target="https://www.boe.es/buscar/act.php?id=BOE-A-1889-4763" TargetMode="External"/><Relationship Id="rId21" Type="http://schemas.openxmlformats.org/officeDocument/2006/relationships/hyperlink" Target="https://www.boe.es/buscar/act.php?id=BOE-A-1960-10906" TargetMode="External"/><Relationship Id="rId22" Type="http://schemas.openxmlformats.org/officeDocument/2006/relationships/hyperlink" Target="https://www.registradores.org/es/-/%C2%BFque-diferencias-existen-entre-una-nota-simple-y-una-certificacio-n-registra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comprobación antes de comprar una vivienda</dc:title>
  <dc:subject>Modelo jurídico editable de vivienda</dc:subject>
  <dc:creator>Pérez &amp; Burgos Abogados</dc:creator>
  <cp:keywords/>
  <dc:description>Modelo orientativo con instrucciones separables y campos editables</dc:description>
  <cp:lastModifiedBy>Pérez &amp; Burgos Abogados</cp:lastModifiedBy>
  <cp:revision>1</cp:revision>
  <dcterms:created xsi:type="dcterms:W3CDTF">2026-10-28T10:09:13Z</dcterms:created>
  <dcterms:modified xsi:type="dcterms:W3CDTF">2026-10-28T10:09:13Z</dcterms:modified>
  <cp:category/>
  <dc:language>es-ES</dc:language>
</cp:coreProperties>
</file>