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after="100" w:line="269" w:lineRule="auto"/>
        <w:jc w:val="center"/>
      </w:pPr>
      <w:r>
        <w:rPr>
          <w:rFonts w:ascii="Arial" w:hAnsi="Arial"/>
          <w:b/>
          <w:color w:val="263A43"/>
          <w:sz w:val="22"/>
        </w:rPr>
        <w:t>MODELO EDITABLE</w:t>
      </w:r>
    </w:p>
    <w:p>
      <w:pPr>
        <w:pStyle w:val="Title"/>
        <w:keepNext/>
        <w:spacing w:before="0" w:after="140"/>
        <w:jc w:val="center"/>
      </w:pPr>
      <w:r>
        <w:rPr>
          <w:rFonts w:ascii="Georgia" w:hAnsi="Georgia"/>
          <w:b/>
          <w:color w:val="000000"/>
          <w:sz w:val="39"/>
        </w:rPr>
        <w:t>Solicitud de documentación durante un ERE</w:t>
      </w:r>
    </w:p>
    <w:p>
      <w:pPr>
        <w:widowControl/>
        <w:spacing w:after="100" w:line="269" w:lineRule="auto"/>
        <w:jc w:val="center"/>
      </w:pPr>
      <w:r>
        <w:rPr>
          <w:rFonts w:ascii="Arial" w:hAnsi="Arial"/>
          <w:b w:val="0"/>
          <w:i/>
          <w:color w:val="263A43"/>
          <w:sz w:val="18"/>
        </w:rPr>
        <w:t>Completa los campos en azul y elimina las opciones que no correspondan.</w:t>
      </w:r>
    </w:p>
    <w:p>
      <w:pPr>
        <w:widowControl/>
        <w:spacing w:after="100" w:line="269" w:lineRule="auto"/>
      </w:pPr>
      <w:r>
        <w:rPr>
          <w:rFonts w:ascii="Arial" w:hAnsi="Arial"/>
          <w:b/>
          <w:color w:val="263A43"/>
          <w:sz w:val="22"/>
        </w:rPr>
        <w:t xml:space="preserve">A LA ATENCIÓN DE </w:t>
      </w:r>
      <w:r>
        <w:rPr>
          <w:rFonts w:ascii="Arial" w:hAnsi="Arial"/>
          <w:b/>
          <w:color w:val="397CDD"/>
          <w:sz w:val="22"/>
        </w:rPr>
        <w:t>[EMPRESA Y PERSONA DESTINATARIA]</w:t>
      </w:r>
    </w:p>
    <w:p>
      <w:pPr>
        <w:widowControl/>
        <w:spacing w:after="100" w:line="269" w:lineRule="auto"/>
      </w:pPr>
      <w:r>
        <w:rPr>
          <w:rFonts w:ascii="Arial" w:hAnsi="Arial"/>
          <w:b w:val="0"/>
          <w:color w:val="263A43"/>
          <w:sz w:val="22"/>
        </w:rPr>
        <w:t xml:space="preserve">De: </w:t>
      </w:r>
      <w:r>
        <w:rPr>
          <w:rFonts w:ascii="Arial" w:hAnsi="Arial"/>
          <w:b/>
          <w:color w:val="397CDD"/>
          <w:sz w:val="22"/>
        </w:rPr>
        <w:t>[COMISIÓN NEGOCIADORA O REPRESENTACIÓN LEGITIMADA]</w:t>
      </w:r>
      <w:r>
        <w:rPr>
          <w:rFonts w:ascii="Arial" w:hAnsi="Arial"/>
          <w:b w:val="0"/>
          <w:color w:val="263A43"/>
          <w:sz w:val="22"/>
        </w:rPr>
        <w:t xml:space="preserve"> · </w:t>
      </w:r>
      <w:r>
        <w:rPr>
          <w:rFonts w:ascii="Arial" w:hAnsi="Arial"/>
          <w:b/>
          <w:color w:val="397CDD"/>
          <w:sz w:val="22"/>
        </w:rPr>
        <w:t>[PORTAVOZ Y ACREDITACIÓN]</w:t>
      </w:r>
      <w:r>
        <w:rPr>
          <w:rFonts w:ascii="Arial" w:hAnsi="Arial"/>
          <w:b w:val="0"/>
          <w:color w:val="263A43"/>
          <w:sz w:val="22"/>
        </w:rPr>
        <w:t xml:space="preserve"> · </w:t>
      </w:r>
      <w:r>
        <w:rPr>
          <w:rFonts w:ascii="Arial" w:hAnsi="Arial"/>
          <w:b/>
          <w:color w:val="397CDD"/>
          <w:sz w:val="22"/>
        </w:rPr>
        <w:t>[CONTACTO]</w:t>
      </w:r>
    </w:p>
    <w:p>
      <w:pPr>
        <w:widowControl/>
        <w:spacing w:after="100" w:line="269" w:lineRule="auto"/>
      </w:pPr>
      <w:r>
        <w:rPr>
          <w:rFonts w:ascii="Arial" w:hAnsi="Arial"/>
          <w:b/>
          <w:color w:val="263A43"/>
          <w:sz w:val="22"/>
        </w:rPr>
        <w:t xml:space="preserve">En </w:t>
      </w:r>
      <w:r>
        <w:rPr>
          <w:rFonts w:ascii="Arial" w:hAnsi="Arial"/>
          <w:b/>
          <w:color w:val="397CDD"/>
          <w:sz w:val="22"/>
        </w:rPr>
        <w:t>[LOCALIDAD]</w:t>
      </w:r>
      <w:r>
        <w:rPr>
          <w:rFonts w:ascii="Arial" w:hAnsi="Arial"/>
          <w:b/>
          <w:color w:val="263A43"/>
          <w:sz w:val="22"/>
        </w:rPr>
        <w:t xml:space="preserve">, a </w:t>
      </w:r>
      <w:r>
        <w:rPr>
          <w:rFonts w:ascii="Arial" w:hAnsi="Arial"/>
          <w:b/>
          <w:color w:val="397CDD"/>
          <w:sz w:val="22"/>
        </w:rPr>
        <w:t>[FECHA]</w:t>
      </w:r>
      <w:r>
        <w:rPr>
          <w:rFonts w:ascii="Arial" w:hAnsi="Arial"/>
          <w:b/>
          <w:color w:val="263A43"/>
          <w:sz w:val="22"/>
        </w:rPr>
        <w:t xml:space="preserve">. Asunto: documentación para el periodo de consultas del despido colectivo comunicado el </w:t>
      </w:r>
      <w:r>
        <w:rPr>
          <w:rFonts w:ascii="Arial" w:hAnsi="Arial"/>
          <w:b/>
          <w:color w:val="397CDD"/>
          <w:sz w:val="22"/>
        </w:rPr>
        <w:t>[FECHA]</w:t>
      </w:r>
      <w:r>
        <w:rPr>
          <w:rFonts w:ascii="Arial" w:hAnsi="Arial"/>
          <w:b/>
          <w:color w:val="263A43"/>
          <w:sz w:val="22"/>
        </w:rPr>
        <w:t>.</w:t>
      </w:r>
    </w:p>
    <w:p>
      <w:pPr>
        <w:widowControl/>
        <w:spacing w:after="100" w:line="269" w:lineRule="auto"/>
      </w:pPr>
      <w:r>
        <w:rPr>
          <w:rFonts w:ascii="Arial" w:hAnsi="Arial"/>
          <w:b w:val="0"/>
          <w:color w:val="263A43"/>
          <w:sz w:val="22"/>
        </w:rPr>
        <w:t>Actuando en la condición y ámbito acreditados, solicito la documentación que se detalla para disponer de información suficiente y negociar sobre las causas alegadas, las posibilidades de evitar o reducir los despidos y las medidas para atenuar sus consecuencias.</w:t>
      </w:r>
    </w:p>
    <w:p>
      <w:pPr>
        <w:widowControl/>
        <w:spacing w:after="100" w:line="269" w:lineRule="auto"/>
      </w:pPr>
      <w:r>
        <w:rPr>
          <w:rFonts w:ascii="Arial" w:hAnsi="Arial"/>
          <w:b w:val="0"/>
          <w:color w:val="263A43"/>
          <w:sz w:val="22"/>
        </w:rPr>
        <w:t xml:space="preserve">Se ha recibido </w:t>
      </w:r>
      <w:r>
        <w:rPr>
          <w:rFonts w:ascii="Arial" w:hAnsi="Arial"/>
          <w:b/>
          <w:color w:val="397CDD"/>
          <w:sz w:val="22"/>
        </w:rPr>
        <w:t>[INVENTARIO, FECHA, VERSIÓN Y FORMA DE ACCESO]</w:t>
      </w:r>
      <w:r>
        <w:rPr>
          <w:rFonts w:ascii="Arial" w:hAnsi="Arial"/>
          <w:b w:val="0"/>
          <w:color w:val="263A43"/>
          <w:sz w:val="22"/>
        </w:rPr>
        <w:t xml:space="preserve">. La empresa invoca </w:t>
      </w:r>
      <w:r>
        <w:rPr>
          <w:rFonts w:ascii="Arial" w:hAnsi="Arial"/>
          <w:b/>
          <w:color w:val="397CDD"/>
          <w:sz w:val="22"/>
        </w:rPr>
        <w:t>[CAUSA]</w:t>
      </w:r>
      <w:r>
        <w:rPr>
          <w:rFonts w:ascii="Arial" w:hAnsi="Arial"/>
          <w:b w:val="0"/>
          <w:color w:val="263A43"/>
          <w:sz w:val="22"/>
        </w:rPr>
        <w:t xml:space="preserve">. La próxima reunión está prevista para </w:t>
      </w:r>
      <w:r>
        <w:rPr>
          <w:rFonts w:ascii="Arial" w:hAnsi="Arial"/>
          <w:b/>
          <w:color w:val="397CDD"/>
          <w:sz w:val="22"/>
        </w:rPr>
        <w:t>[FECHA]</w:t>
      </w:r>
      <w:r>
        <w:rPr>
          <w:rFonts w:ascii="Arial" w:hAnsi="Arial"/>
          <w:b w:val="0"/>
          <w:color w:val="263A43"/>
          <w:sz w:val="22"/>
        </w:rPr>
        <w:t xml:space="preserve">. La documentación preceptiva exigible en este supuesto que falta o resulta incompleta es </w:t>
      </w:r>
      <w:r>
        <w:rPr>
          <w:rFonts w:ascii="Arial" w:hAnsi="Arial"/>
          <w:b/>
          <w:color w:val="397CDD"/>
          <w:sz w:val="22"/>
        </w:rPr>
        <w:t>[DOCUMENTO Y CARENCIA CONCRETA; ELIMINAR SI NO PROCEDE]</w:t>
      </w:r>
      <w:r>
        <w:rPr>
          <w:rFonts w:ascii="Arial" w:hAnsi="Arial"/>
          <w:b w:val="0"/>
          <w:color w:val="263A43"/>
          <w:sz w:val="22"/>
        </w:rPr>
        <w:t>.</w:t>
      </w:r>
    </w:p>
    <w:p>
      <w:pPr>
        <w:widowControl/>
        <w:spacing w:after="100" w:line="269" w:lineRule="auto"/>
      </w:pPr>
      <w:r>
        <w:rPr>
          <w:rFonts w:ascii="Arial" w:hAnsi="Arial"/>
          <w:b w:val="0"/>
          <w:color w:val="263A43"/>
          <w:sz w:val="22"/>
        </w:rPr>
        <w:t>Solicito además los siguientes documentos o datos, indicando separadamente su utilidad para la negociación. No basta una petición genérica de toda la documentación empresarial: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0" w:type="dxa"/>
          <w:left w:w="110" w:type="dxa"/>
          <w:bottom w:w="100" w:type="dxa"/>
          <w:right w:w="110" w:type="dxa"/>
        </w:tblCellMar>
      </w:tblPr>
      <w:tblGrid>
        <w:gridCol w:w="2041"/>
        <w:gridCol w:w="1701"/>
        <w:gridCol w:w="3458"/>
        <w:gridCol w:w="2324"/>
      </w:tblGrid>
      <w:tr>
        <w:trPr>
          <w:tblHeader/>
          <w:cantSplit/>
        </w:trPr>
        <w:tc>
          <w:tcPr>
            <w:tcW w:type="dxa" w:w="2041"/>
            <w:vAlign w:val="center"/>
            <w:shd w:fill="EDF0F2"/>
          </w:tcPr>
          <w:p>
            <w:pPr>
              <w:spacing w:after="20" w:line="259" w:lineRule="auto"/>
            </w:pPr>
            <w:r>
              <w:rPr>
                <w:rFonts w:ascii="Arial" w:hAnsi="Arial"/>
                <w:b/>
                <w:color w:val="263A43"/>
                <w:sz w:val="22"/>
              </w:rPr>
              <w:t>Documento o dato</w:t>
            </w:r>
          </w:p>
        </w:tc>
        <w:tc>
          <w:tcPr>
            <w:tcW w:type="dxa" w:w="1701"/>
            <w:vAlign w:val="center"/>
            <w:shd w:fill="EDF0F2"/>
          </w:tcPr>
          <w:p>
            <w:pPr>
              <w:spacing w:after="20" w:line="259" w:lineRule="auto"/>
            </w:pPr>
            <w:r>
              <w:rPr>
                <w:rFonts w:ascii="Arial" w:hAnsi="Arial"/>
                <w:b/>
                <w:color w:val="263A43"/>
                <w:sz w:val="22"/>
              </w:rPr>
              <w:t>Periodo y ámbito</w:t>
            </w:r>
          </w:p>
        </w:tc>
        <w:tc>
          <w:tcPr>
            <w:tcW w:type="dxa" w:w="3458"/>
            <w:vAlign w:val="center"/>
            <w:shd w:fill="EDF0F2"/>
          </w:tcPr>
          <w:p>
            <w:pPr>
              <w:spacing w:after="20" w:line="259" w:lineRule="auto"/>
            </w:pPr>
            <w:r>
              <w:rPr>
                <w:rFonts w:ascii="Arial" w:hAnsi="Arial"/>
                <w:b/>
                <w:color w:val="263A43"/>
                <w:sz w:val="22"/>
              </w:rPr>
              <w:t>Utilidad para negociar</w:t>
            </w:r>
          </w:p>
        </w:tc>
        <w:tc>
          <w:tcPr>
            <w:tcW w:type="dxa" w:w="2324"/>
            <w:vAlign w:val="center"/>
            <w:shd w:fill="EDF0F2"/>
          </w:tcPr>
          <w:p>
            <w:pPr>
              <w:spacing w:after="20" w:line="259" w:lineRule="auto"/>
            </w:pPr>
            <w:r>
              <w:rPr>
                <w:rFonts w:ascii="Arial" w:hAnsi="Arial"/>
                <w:b/>
                <w:color w:val="263A43"/>
                <w:sz w:val="22"/>
              </w:rPr>
              <w:t>Carencia observada</w:t>
            </w:r>
          </w:p>
        </w:tc>
      </w:tr>
      <w:tr>
        <w:trPr>
          <w:cantSplit/>
        </w:trPr>
        <w:tc>
          <w:tcPr>
            <w:tcW w:type="dxa" w:w="2041"/>
            <w:vAlign w:val="center"/>
          </w:tcPr>
          <w:p>
            <w:pPr>
              <w:spacing w:after="20" w:line="259" w:lineRule="auto"/>
            </w:pPr>
            <w:r>
              <w:rPr>
                <w:rFonts w:ascii="Arial" w:hAnsi="Arial"/>
                <w:b/>
                <w:color w:val="397CDD"/>
                <w:sz w:val="22"/>
              </w:rPr>
              <w:t>[DOCUMENTO]</w:t>
            </w:r>
          </w:p>
        </w:tc>
        <w:tc>
          <w:tcPr>
            <w:tcW w:type="dxa" w:w="1701"/>
            <w:vAlign w:val="center"/>
          </w:tcPr>
          <w:p>
            <w:pPr>
              <w:spacing w:after="20" w:line="259" w:lineRule="auto"/>
            </w:pPr>
            <w:r>
              <w:rPr>
                <w:rFonts w:ascii="Arial" w:hAnsi="Arial"/>
                <w:b/>
                <w:color w:val="397CDD"/>
                <w:sz w:val="22"/>
              </w:rPr>
              <w:t>[FECHAS Y CENTROS]</w:t>
            </w:r>
          </w:p>
        </w:tc>
        <w:tc>
          <w:tcPr>
            <w:tcW w:type="dxa" w:w="3458"/>
            <w:vAlign w:val="center"/>
          </w:tcPr>
          <w:p>
            <w:pPr>
              <w:spacing w:after="20" w:line="259" w:lineRule="auto"/>
            </w:pPr>
            <w:r>
              <w:rPr>
                <w:rFonts w:ascii="Arial" w:hAnsi="Arial"/>
                <w:b/>
                <w:color w:val="397CDD"/>
                <w:sz w:val="22"/>
              </w:rPr>
              <w:t>[RELACIÓN CON CAUSA, AFECTACIÓN O ALTERNATIVA]</w:t>
            </w:r>
          </w:p>
        </w:tc>
        <w:tc>
          <w:tcPr>
            <w:tcW w:type="dxa" w:w="2324"/>
            <w:vAlign w:val="center"/>
          </w:tcPr>
          <w:p>
            <w:pPr>
              <w:spacing w:after="20" w:line="259" w:lineRule="auto"/>
            </w:pPr>
            <w:r>
              <w:rPr>
                <w:rFonts w:ascii="Arial" w:hAnsi="Arial"/>
                <w:b/>
                <w:color w:val="397CDD"/>
                <w:sz w:val="22"/>
              </w:rPr>
              <w:t>[DATO QUE FALTA]</w:t>
            </w:r>
          </w:p>
        </w:tc>
      </w:tr>
      <w:tr>
        <w:trPr>
          <w:cantSplit/>
        </w:trPr>
        <w:tc>
          <w:tcPr>
            <w:tcW w:type="dxa" w:w="2041"/>
            <w:vAlign w:val="center"/>
          </w:tcPr>
          <w:p>
            <w:pPr>
              <w:spacing w:after="20" w:line="259" w:lineRule="auto"/>
            </w:pPr>
            <w:r>
              <w:rPr>
                <w:rFonts w:ascii="Arial" w:hAnsi="Arial"/>
                <w:b/>
                <w:color w:val="397CDD"/>
                <w:sz w:val="22"/>
              </w:rPr>
              <w:t>[DOCUMENTO]</w:t>
            </w:r>
          </w:p>
        </w:tc>
        <w:tc>
          <w:tcPr>
            <w:tcW w:type="dxa" w:w="1701"/>
            <w:vAlign w:val="center"/>
          </w:tcPr>
          <w:p>
            <w:pPr>
              <w:spacing w:after="20" w:line="259" w:lineRule="auto"/>
            </w:pPr>
            <w:r>
              <w:rPr>
                <w:rFonts w:ascii="Arial" w:hAnsi="Arial"/>
                <w:b/>
                <w:color w:val="397CDD"/>
                <w:sz w:val="22"/>
              </w:rPr>
              <w:t>[FECHAS Y CENTROS]</w:t>
            </w:r>
          </w:p>
        </w:tc>
        <w:tc>
          <w:tcPr>
            <w:tcW w:type="dxa" w:w="3458"/>
            <w:vAlign w:val="center"/>
          </w:tcPr>
          <w:p>
            <w:pPr>
              <w:spacing w:after="20" w:line="259" w:lineRule="auto"/>
            </w:pPr>
            <w:r>
              <w:rPr>
                <w:rFonts w:ascii="Arial" w:hAnsi="Arial"/>
                <w:b/>
                <w:color w:val="397CDD"/>
                <w:sz w:val="22"/>
              </w:rPr>
              <w:t>[UTILIDAD CONCRETA]</w:t>
            </w:r>
          </w:p>
        </w:tc>
        <w:tc>
          <w:tcPr>
            <w:tcW w:type="dxa" w:w="2324"/>
            <w:vAlign w:val="center"/>
          </w:tcPr>
          <w:p>
            <w:pPr>
              <w:spacing w:after="20" w:line="259" w:lineRule="auto"/>
            </w:pPr>
            <w:r>
              <w:rPr>
                <w:rFonts w:ascii="Arial" w:hAnsi="Arial"/>
                <w:b/>
                <w:color w:val="397CDD"/>
                <w:sz w:val="22"/>
              </w:rPr>
              <w:t>[DATO QUE FALTA]</w:t>
            </w:r>
          </w:p>
        </w:tc>
      </w:tr>
    </w:tbl>
    <w:p>
      <w:pPr>
        <w:widowControl/>
        <w:spacing w:after="100" w:line="269" w:lineRule="auto" w:before="160"/>
      </w:pPr>
      <w:r>
        <w:rPr>
          <w:rFonts w:ascii="Arial" w:hAnsi="Arial"/>
          <w:b w:val="0"/>
          <w:color w:val="263A43"/>
          <w:sz w:val="22"/>
        </w:rPr>
        <w:t>Pido que se facilite la documentación exigible y la información adicional pertinente con antelación suficiente para examinarla antes de la reunión indicada. Si algún extremo se considera improcedente, inexistente o reservado, solicito que se explique de forma concreta y se valore el acceso limitado o disociado que permita negociar con las garantías aplicables.</w:t>
      </w:r>
    </w:p>
    <w:p>
      <w:pPr>
        <w:widowControl/>
        <w:spacing w:after="100" w:line="269" w:lineRule="auto"/>
      </w:pPr>
      <w:r>
        <w:rPr>
          <w:rFonts w:ascii="Arial" w:hAnsi="Arial"/>
          <w:b w:val="0"/>
          <w:color w:val="263A43"/>
          <w:sz w:val="22"/>
        </w:rPr>
        <w:t>Esta representación observará el deber de sigilo y el uso de la información dentro de su finalidad legal, conforme al artículo 65 ET. Solicito que queden reflejados en el acta esta petición, las fechas de entrega y la respuesta empresarial. La recepción de documentos no implica conformidad con las causas, el perímetro, los criterios de afectación ni las medidas propuestas.</w:t>
      </w:r>
    </w:p>
    <w:p>
      <w:pPr>
        <w:widowControl/>
        <w:spacing w:after="100" w:line="269" w:lineRule="auto"/>
      </w:pPr>
      <w:r>
        <w:rPr>
          <w:rFonts w:ascii="Arial" w:hAnsi="Arial"/>
          <w:b/>
          <w:color w:val="263A43"/>
          <w:sz w:val="22"/>
        </w:rPr>
        <w:t xml:space="preserve">Firma: </w:t>
      </w:r>
      <w:r>
        <w:rPr>
          <w:rFonts w:ascii="Arial" w:hAnsi="Arial"/>
          <w:b/>
          <w:color w:val="397CDD"/>
          <w:sz w:val="22"/>
        </w:rPr>
        <w:t>[PORTAVOZ Y CONDICIÓN ACREDITADA]</w:t>
      </w:r>
      <w:r>
        <w:rPr>
          <w:rFonts w:ascii="Arial" w:hAnsi="Arial"/>
          <w:b/>
          <w:color w:val="263A43"/>
          <w:sz w:val="22"/>
        </w:rPr>
        <w:br/>
        <w:t xml:space="preserve">Anexos: </w:t>
      </w:r>
      <w:r>
        <w:rPr>
          <w:rFonts w:ascii="Arial" w:hAnsi="Arial"/>
          <w:b/>
          <w:color w:val="397CDD"/>
          <w:sz w:val="22"/>
        </w:rPr>
        <w:t>[ACREDITACIÓN, INVENTARIO Y PETICIONES ANTERIORES]</w:t>
      </w:r>
      <w:r>
        <w:rPr>
          <w:rFonts w:ascii="Arial" w:hAnsi="Arial"/>
          <w:b/>
          <w:color w:val="263A43"/>
          <w:sz w:val="22"/>
        </w:rPr>
        <w:br/>
        <w:t xml:space="preserve">Recepción: </w:t>
      </w:r>
      <w:r>
        <w:rPr>
          <w:rFonts w:ascii="Arial" w:hAnsi="Arial"/>
          <w:b/>
          <w:color w:val="397CDD"/>
          <w:sz w:val="22"/>
        </w:rPr>
        <w:t>[FECHA, CANAL Y JUSTIFICANTE]</w:t>
      </w:r>
    </w:p>
    <w:p>
      <w:r/>
    </w:p>
    <w:p>
      <w:pPr>
        <w:pStyle w:val="Title"/>
        <w:keepNext/>
        <w:pageBreakBefore/>
        <w:spacing w:before="0" w:after="140"/>
        <w:jc w:val="center"/>
      </w:pPr>
      <w:r>
        <w:rPr>
          <w:rFonts w:ascii="Georgia" w:hAnsi="Georgia"/>
          <w:b/>
          <w:color w:val="000000"/>
          <w:sz w:val="39"/>
        </w:rPr>
        <w:t>Guía de uso del modelo</w:t>
      </w:r>
    </w:p>
    <w:p>
      <w:pPr>
        <w:widowControl/>
        <w:spacing w:after="100" w:line="269" w:lineRule="auto"/>
      </w:pPr>
      <w:r>
        <w:rPr>
          <w:rFonts w:ascii="Arial" w:hAnsi="Arial"/>
          <w:b/>
          <w:color w:val="263A43"/>
          <w:sz w:val="22"/>
        </w:rPr>
        <w:t>NO ENVÍES ESTA GUÍA CON EL ESCRITO</w:t>
      </w:r>
    </w:p>
    <w:p>
      <w:pPr>
        <w:pStyle w:val="Heading2"/>
        <w:keepNext/>
        <w:spacing w:before="200" w:after="100"/>
      </w:pPr>
      <w:r>
        <w:rPr>
          <w:color w:val="000000"/>
        </w:rPr>
        <w:t>Quién puede utilizarlo</w:t>
      </w:r>
    </w:p>
    <w:p>
      <w:pPr>
        <w:widowControl/>
        <w:spacing w:after="100" w:line="269" w:lineRule="auto"/>
      </w:pPr>
      <w:r>
        <w:rPr>
          <w:rFonts w:ascii="Arial" w:hAnsi="Arial"/>
          <w:b w:val="0"/>
          <w:color w:val="263A43"/>
          <w:sz w:val="22"/>
        </w:rPr>
        <w:t>La comisión negociadora o la representación legitimada en el periodo de consultas. No atribuye a un trabajador individual facultades para representar a toda la plantilla. Si eres afectado y no integras la representación, pide revisión de tu carta, de la vía individual y de los plazos; no firmes como portavoz sin acreditación.</w:t>
      </w:r>
    </w:p>
    <w:p>
      <w:pPr>
        <w:pStyle w:val="Heading2"/>
        <w:keepNext/>
        <w:spacing w:before="200" w:after="100"/>
      </w:pPr>
      <w:r>
        <w:rPr>
          <w:color w:val="000000"/>
        </w:rPr>
        <w:t>Separa la documentación obligatoria de la adicional</w:t>
      </w:r>
    </w:p>
    <w:p>
      <w:pPr>
        <w:widowControl/>
        <w:spacing w:after="100" w:line="269" w:lineRule="auto"/>
      </w:pPr>
      <w:r>
        <w:rPr>
          <w:rFonts w:ascii="Arial" w:hAnsi="Arial"/>
          <w:b w:val="0"/>
          <w:color w:val="263A43"/>
          <w:sz w:val="22"/>
        </w:rPr>
        <w:t>Comprueba la comunicación de apertura, memoria, número y clasificación de afectados y plantilla habitual, periodo previsto, criterios de selección y documentación exigible según las causas y las circunstancias de la empresa. Los artículos 3 a 5 del RD 1483/2012 contienen requisitos que deben adaptarse al caso, incluidos los relativos a grupos cuando procedan.</w:t>
      </w:r>
    </w:p>
    <w:p>
      <w:pPr>
        <w:widowControl/>
        <w:spacing w:after="100" w:line="269" w:lineRule="auto"/>
      </w:pPr>
      <w:r>
        <w:rPr>
          <w:rFonts w:ascii="Arial" w:hAnsi="Arial"/>
          <w:b w:val="0"/>
          <w:color w:val="263A43"/>
          <w:sz w:val="22"/>
        </w:rPr>
        <w:t>Para información adicional, explica qué permite comprobar. Por ejemplo: distribución del trabajo por centros para contrastar la afectación; vacantes, funciones y condiciones para valorar recolocaciones; datos sobre aplicación de criterios para negociar alternativas. Un contrato comercial requiere explicar su relación con la causa o una alternativa concreta; no se reclama indiscriminadamente.</w:t>
      </w:r>
    </w:p>
    <w:p>
      <w:pPr>
        <w:pStyle w:val="Heading2"/>
        <w:keepNext/>
        <w:spacing w:before="200" w:after="100"/>
      </w:pPr>
      <w:r>
        <w:rPr>
          <w:color w:val="000000"/>
        </w:rPr>
        <w:t>Guarda la trazabilidad y revisa el plazo</w:t>
      </w:r>
    </w:p>
    <w:p>
      <w:pPr>
        <w:widowControl/>
        <w:spacing w:after="100" w:line="269" w:lineRule="auto"/>
      </w:pPr>
      <w:r>
        <w:rPr>
          <w:rFonts w:ascii="Arial" w:hAnsi="Arial"/>
          <w:b w:val="0"/>
          <w:color w:val="263A43"/>
          <w:sz w:val="22"/>
        </w:rPr>
        <w:t>Numera las peticiones, indica periodo y centro, identifica versiones y registra la respuesta y su incorporación al acta. No inventes un plazo universal de contestación. La petición no suspende por sí sola la impugnación. La acción colectiva tiene la caducidad del artículo 124.6 LRJS; la acción individual sigue sus propias reglas, que pueden depender de la impugnación colectiva.</w:t>
      </w:r>
    </w:p>
    <w:p>
      <w:pPr>
        <w:widowControl/>
        <w:spacing w:after="100" w:line="269" w:lineRule="auto"/>
      </w:pPr>
      <w:r>
        <w:rPr>
          <w:rFonts w:ascii="Arial" w:hAnsi="Arial"/>
          <w:b w:val="0"/>
          <w:color w:val="263A43"/>
          <w:sz w:val="22"/>
        </w:rPr>
        <w:t>La STS 624/2017, FJ 3, vincula la relevancia de la información a una negociación adecuada: no toda omisión provoca nulidad, ni entregar una lista formal resuelve cualquier carencia. La petición debe concretar la utilidad de la información adicional. El acuerdo no convalida automáticamente cualquier defecto. Sus consideraciones sobre antiguos contratos de obra no se trasladan al régimen actual.</w:t>
      </w:r>
    </w:p>
    <w:p>
      <w:pPr>
        <w:pStyle w:val="Heading2"/>
        <w:keepNext/>
        <w:spacing w:before="200" w:after="100"/>
      </w:pPr>
      <w:r>
        <w:rPr>
          <w:color w:val="000000"/>
        </w:rPr>
        <w:t>Fuentes y siguiente paso</w:t>
      </w:r>
    </w:p>
    <w:p>
      <w:pPr>
        <w:widowControl/>
        <w:spacing w:after="100" w:line="269" w:lineRule="auto"/>
      </w:pPr>
      <w:r>
        <w:rPr>
          <w:rFonts w:ascii="Arial" w:hAnsi="Arial"/>
          <w:b w:val="0"/>
          <w:color w:val="263A43"/>
          <w:sz w:val="22"/>
        </w:rPr>
        <w:t>ET, artículos 51.2, 64 y 65; RD 1483/2012, artículos 3, 4, 5 y 7; LRJS, artículo 124; STS 624/2017 de 13 de julio, ECLI:ES:TS:2017:3166. Consulta la guía con fuentes oficiales en perezburgosabogados.es/despido-colectivo-ere-documentacion/. Revisión: 10 de octubre de 2026.</w:t>
      </w:r>
    </w:p>
    <w:sectPr>
      <w:headerReference w:type="default" r:id="rId9"/>
      <w:footerReference w:type="default" r:id="rId10"/>
      <w:pgSz w:w="11909" w:h="16834"/>
      <w:pgMar w:top="1123" w:right="1181" w:bottom="1037" w:left="1181" w:header="380" w:footer="3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000000"/>
        <w:sz w:val="18"/>
      </w:rPr>
      <w:t>PÉREZ &amp; BURGOS</w:t>
    </w:r>
    <w:r>
      <w:rPr>
        <w:rFonts w:ascii="Arial" w:hAnsi="Arial"/>
        <w:b/>
        <w:color w:val="000000"/>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69" w:lineRule="auto"/>
    </w:pPr>
    <w:rPr>
      <w:rFonts w:ascii="Arial" w:hAnsi="Arial"/>
      <w:color w:val="263A4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Georgia" w:hAnsi="Georgia"/>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Georgia" w:hAnsi="Georgia"/>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Georgia" w:hAnsi="Georgia"/>
      <w:b/>
      <w:bCs/>
      <w:color w:val="102E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80"/>
      <w:contextualSpacing/>
    </w:pPr>
    <w:rPr>
      <w:rFonts w:asciiTheme="majorHAnsi" w:eastAsiaTheme="majorEastAsia" w:hAnsiTheme="majorHAnsi" w:cstheme="majorBidi" w:ascii="Georgia" w:hAnsi="Georgia"/>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odelNote">
    <w:name w:val="Model Note"/>
    <w:pPr>
      <w:spacing w:before="120" w:after="120"/>
      <w:ind w:left="202" w:right="202"/>
    </w:pPr>
    <w:rPr>
      <w:rFonts w:ascii="Aptos" w:hAnsi="Aptos"/>
      <w:color w:val="5C697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oe.es/buscar/act.php?id=BOE-A-2015-11430#a23" TargetMode="External"/><Relationship Id="rId12" Type="http://schemas.openxmlformats.org/officeDocument/2006/relationships/hyperlink" Target="https://www.boe.es/buscar/act.php?id=BOE-A-2015-11430#a23" TargetMode="External"/><Relationship Id="rId13" Type="http://schemas.openxmlformats.org/officeDocument/2006/relationships/hyperlink" Target="https://www.poderjudicial.es/search/AN/openDocument/bc8967c890663d1fa0a8778d75e36f0d/202607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documentación durante un ERE</dc:title>
  <dc:subject>Modelo laboral editable y guía de uso</dc:subject>
  <dc:creator>Pérez &amp; Burgos Abogados</dc:creator>
  <cp:keywords>Laboral; modelo editable; revisión 2026-10-10</cp:keywords>
  <dc:description>Información general. Comprobar hechos, legitimación, normativa y plazos antes de utilizar.</dc:description>
  <cp:lastModifiedBy>Pérez &amp; Burgos Abogados</cp:lastModifiedBy>
  <cp:revision>1</cp:revision>
  <dcterms:created xsi:type="dcterms:W3CDTF">2026-09-30T23:14:46Z</dcterms:created>
  <dcterms:modified xsi:type="dcterms:W3CDTF">2026-09-30T23:14:46Z</dcterms:modified>
  <cp:category/>
</cp:coreProperties>
</file>