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widowControl/>
        <w:spacing w:before="160" w:after="60"/>
        <w:jc w:val="center"/>
      </w:pPr>
      <w:r>
        <w:rPr>
          <w:rFonts w:ascii="Arial" w:hAnsi="Arial"/>
          <w:b/>
          <w:i w:val="0"/>
          <w:caps/>
          <w:color w:val="9B6B3E"/>
          <w:sz w:val="15"/>
        </w:rPr>
        <w:t>MODELO EDITABLE</w:t>
      </w:r>
    </w:p>
    <w:p>
      <w:pPr>
        <w:keepNext/>
        <w:widowControl/>
        <w:spacing w:before="0" w:after="80"/>
        <w:jc w:val="center"/>
      </w:pPr>
      <w:r>
        <w:rPr>
          <w:rFonts w:ascii="Georgia" w:hAnsi="Georgia"/>
          <w:b/>
          <w:i w:val="0"/>
          <w:color w:val="102E3C"/>
          <w:sz w:val="39"/>
        </w:rPr>
        <w:t>Reclamación previa por incapacidad permanente denegada</w:t>
      </w:r>
    </w:p>
    <w:p>
      <w:pPr>
        <w:widowControl/>
        <w:spacing w:after="260"/>
        <w:jc w:val="center"/>
      </w:pPr>
      <w:r>
        <w:rPr>
          <w:rFonts w:ascii="Arial" w:hAnsi="Arial"/>
          <w:b w:val="0"/>
          <w:i/>
          <w:color w:val="68777D"/>
          <w:sz w:val="18"/>
        </w:rPr>
        <w:t>Documento editable · completa únicamente los campos resaltados en azul</w:t>
      </w:r>
    </w:p>
    <w:p>
      <w:pPr>
        <w:keepNext/>
        <w:spacing w:before="100" w:after="100" w:line="274" w:lineRule="auto"/>
        <w:jc w:val="left"/>
        <w:widowControl/>
        <w:shd w:fill="EDF4FE"/>
      </w:pPr>
      <w:r>
        <w:rPr>
          <w:rFonts w:ascii="Arial" w:hAnsi="Arial"/>
          <w:b/>
          <w:i w:val="0"/>
          <w:caps/>
          <w:color w:val="263A43"/>
          <w:sz w:val="20"/>
        </w:rPr>
        <w:t>TEXTO DEL ESCRITO · PÁGINA LISTA PARA EDITAR Y ENVIAR</w:t>
      </w:r>
    </w:p>
    <w:p>
      <w:pPr>
        <w:widowControl/>
        <w:spacing w:after="100" w:line="274" w:lineRule="auto"/>
        <w:jc w:val="left"/>
      </w:pPr>
      <w:r>
        <w:rPr>
          <w:rFonts w:ascii="Arial" w:hAnsi="Arial"/>
          <w:b/>
          <w:i w:val="0"/>
          <w:color w:val="263A43"/>
          <w:sz w:val="20"/>
        </w:rPr>
        <w:t>A LA DIRECCIÓN PROVINCIAL DEL INSTITUTO NACIONAL DE LA SEGURIDAD SOCIAL</w:t>
        <w:br/>
      </w:r>
      <w:r>
        <w:rPr>
          <w:rFonts w:ascii="Arial" w:hAnsi="Arial"/>
          <w:b/>
          <w:i w:val="0"/>
          <w:color w:val="397CDD"/>
          <w:sz w:val="20"/>
          <w:shd w:fill="E8F0FB"/>
        </w:rPr>
        <w:t>[PROVINCIA / UNIDAD QUE DICTÓ LA RESOLUCIÓN]</w:t>
      </w:r>
    </w:p>
    <w:p>
      <w:pPr>
        <w:widowControl/>
        <w:spacing w:after="100" w:line="274" w:lineRule="auto"/>
        <w:jc w:val="left"/>
      </w:pPr>
      <w:r>
        <w:rPr>
          <w:rFonts w:ascii="Arial" w:hAnsi="Arial"/>
          <w:b w:val="0"/>
          <w:i w:val="0"/>
          <w:color w:val="263A43"/>
          <w:sz w:val="20"/>
        </w:rPr>
        <w:t xml:space="preserve">Reclamante: </w:t>
      </w:r>
      <w:r>
        <w:rPr>
          <w:rFonts w:ascii="Arial" w:hAnsi="Arial"/>
          <w:b/>
          <w:i w:val="0"/>
          <w:color w:val="397CDD"/>
          <w:sz w:val="20"/>
          <w:shd w:fill="E8F0FB"/>
        </w:rPr>
        <w:t>[NOMBRE Y APELLIDOS]</w:t>
      </w:r>
      <w:r>
        <w:rPr>
          <w:rFonts w:ascii="Arial" w:hAnsi="Arial"/>
          <w:b w:val="0"/>
          <w:i w:val="0"/>
          <w:color w:val="263A43"/>
          <w:sz w:val="20"/>
        </w:rPr>
        <w:t xml:space="preserve"> · DNI/NIE: </w:t>
      </w:r>
      <w:r>
        <w:rPr>
          <w:rFonts w:ascii="Arial" w:hAnsi="Arial"/>
          <w:b/>
          <w:i w:val="0"/>
          <w:color w:val="397CDD"/>
          <w:sz w:val="20"/>
          <w:shd w:fill="E8F0FB"/>
        </w:rPr>
        <w:t>[NÚMERO]</w:t>
      </w:r>
      <w:r>
        <w:rPr>
          <w:rFonts w:ascii="Arial" w:hAnsi="Arial"/>
          <w:b w:val="0"/>
          <w:i w:val="0"/>
          <w:color w:val="263A43"/>
          <w:sz w:val="20"/>
        </w:rPr>
        <w:t xml:space="preserve"> · NAF: </w:t>
      </w:r>
      <w:r>
        <w:rPr>
          <w:rFonts w:ascii="Arial" w:hAnsi="Arial"/>
          <w:b/>
          <w:i w:val="0"/>
          <w:color w:val="397CDD"/>
          <w:sz w:val="20"/>
          <w:shd w:fill="E8F0FB"/>
        </w:rPr>
        <w:t>[NÚMERO DE AFILIACIÓN]</w:t>
      </w:r>
    </w:p>
    <w:p>
      <w:pPr>
        <w:spacing w:after="100" w:line="274" w:lineRule="auto"/>
        <w:widowControl/>
        <w:shd w:fill="F4F6F7"/>
        <w:jc w:val="left"/>
      </w:pPr>
      <w:r>
        <w:rPr>
          <w:rFonts w:ascii="Arial" w:hAnsi="Arial"/>
          <w:b/>
          <w:i w:val="0"/>
          <w:color w:val="263A43"/>
          <w:sz w:val="20"/>
        </w:rPr>
        <w:t xml:space="preserve">Asunto: </w:t>
      </w:r>
      <w:r>
        <w:rPr>
          <w:rFonts w:ascii="Arial" w:hAnsi="Arial"/>
          <w:b w:val="0"/>
          <w:i w:val="0"/>
          <w:color w:val="263A43"/>
          <w:sz w:val="20"/>
        </w:rPr>
        <w:t xml:space="preserve">Reclamación previa frente a la resolución de </w:t>
      </w:r>
      <w:r>
        <w:rPr>
          <w:rFonts w:ascii="Arial" w:hAnsi="Arial"/>
          <w:b/>
          <w:i w:val="0"/>
          <w:color w:val="397CDD"/>
          <w:sz w:val="20"/>
          <w:shd w:fill="E8F0FB"/>
        </w:rPr>
        <w:t>[FECHA]</w:t>
      </w:r>
    </w:p>
    <w:p>
      <w:pPr>
        <w:widowControl/>
        <w:spacing w:after="100" w:line="274" w:lineRule="auto"/>
        <w:jc w:val="left"/>
      </w:pPr>
      <w:r>
        <w:rPr>
          <w:rFonts w:ascii="Arial" w:hAnsi="Arial"/>
          <w:b w:val="0"/>
          <w:i w:val="0"/>
          <w:color w:val="263A43"/>
          <w:sz w:val="20"/>
        </w:rPr>
        <w:t xml:space="preserve">En </w:t>
      </w:r>
      <w:r>
        <w:rPr>
          <w:rFonts w:ascii="Arial" w:hAnsi="Arial"/>
          <w:b/>
          <w:i w:val="0"/>
          <w:color w:val="397CDD"/>
          <w:sz w:val="20"/>
          <w:shd w:fill="E8F0FB"/>
        </w:rPr>
        <w:t>[LOCALIDAD]</w:t>
      </w:r>
      <w:r>
        <w:rPr>
          <w:rFonts w:ascii="Arial" w:hAnsi="Arial"/>
          <w:b w:val="0"/>
          <w:i w:val="0"/>
          <w:color w:val="263A43"/>
          <w:sz w:val="20"/>
        </w:rPr>
        <w:t xml:space="preserve">, a </w:t>
      </w:r>
      <w:r>
        <w:rPr>
          <w:rFonts w:ascii="Arial" w:hAnsi="Arial"/>
          <w:b/>
          <w:i w:val="0"/>
          <w:color w:val="397CDD"/>
          <w:sz w:val="20"/>
          <w:shd w:fill="E8F0FB"/>
        </w:rPr>
        <w:t>[FECHA]</w:t>
      </w:r>
      <w:r>
        <w:rPr>
          <w:rFonts w:ascii="Arial" w:hAnsi="Arial"/>
          <w:b w:val="0"/>
          <w:i w:val="0"/>
          <w:color w:val="263A43"/>
          <w:sz w:val="20"/>
        </w:rPr>
        <w:t>.</w:t>
      </w:r>
    </w:p>
    <w:p>
      <w:pPr>
        <w:widowControl/>
        <w:spacing w:after="100" w:line="274" w:lineRule="auto"/>
        <w:jc w:val="left"/>
      </w:pPr>
      <w:r>
        <w:rPr>
          <w:rFonts w:ascii="Arial" w:hAnsi="Arial"/>
          <w:b w:val="0"/>
          <w:i w:val="0"/>
          <w:color w:val="263A43"/>
          <w:sz w:val="20"/>
        </w:rPr>
        <w:t>FORMULA RECLAMACIÓN PREVIA Y EXPONE:</w:t>
      </w:r>
    </w:p>
    <w:p>
      <w:pPr>
        <w:widowControl/>
        <w:spacing w:after="100" w:line="274" w:lineRule="auto"/>
        <w:jc w:val="left"/>
      </w:pPr>
      <w:r>
        <w:rPr>
          <w:rFonts w:ascii="Arial" w:hAnsi="Arial"/>
          <w:b w:val="0"/>
          <w:i w:val="0"/>
          <w:color w:val="263A43"/>
          <w:sz w:val="20"/>
        </w:rPr>
        <w:t xml:space="preserve">PRIMERO. En fecha </w:t>
      </w:r>
      <w:r>
        <w:rPr>
          <w:rFonts w:ascii="Arial" w:hAnsi="Arial"/>
          <w:b/>
          <w:i w:val="0"/>
          <w:color w:val="397CDD"/>
          <w:sz w:val="20"/>
          <w:shd w:fill="E8F0FB"/>
        </w:rPr>
        <w:t>[FECHA DE NOTIFICACIÓN]</w:t>
      </w:r>
      <w:r>
        <w:rPr>
          <w:rFonts w:ascii="Arial" w:hAnsi="Arial"/>
          <w:b w:val="0"/>
          <w:i w:val="0"/>
          <w:color w:val="263A43"/>
          <w:sz w:val="20"/>
        </w:rPr>
        <w:t xml:space="preserve"> recibí resolución dictada en el expediente </w:t>
      </w:r>
      <w:r>
        <w:rPr>
          <w:rFonts w:ascii="Arial" w:hAnsi="Arial"/>
          <w:b/>
          <w:i w:val="0"/>
          <w:color w:val="397CDD"/>
          <w:sz w:val="20"/>
          <w:shd w:fill="E8F0FB"/>
        </w:rPr>
        <w:t>[NÚMERO]</w:t>
      </w:r>
      <w:r>
        <w:rPr>
          <w:rFonts w:ascii="Arial" w:hAnsi="Arial"/>
          <w:b w:val="0"/>
          <w:i w:val="0"/>
          <w:color w:val="263A43"/>
          <w:sz w:val="20"/>
        </w:rPr>
        <w:t xml:space="preserve">, por la que se </w:t>
      </w:r>
      <w:r>
        <w:rPr>
          <w:rFonts w:ascii="Arial" w:hAnsi="Arial"/>
          <w:b/>
          <w:i w:val="0"/>
          <w:color w:val="397CDD"/>
          <w:sz w:val="20"/>
          <w:shd w:fill="E8F0FB"/>
        </w:rPr>
        <w:t>[DENIEGA / RECONOCE EN GRADO DISTINTO]</w:t>
      </w:r>
      <w:r>
        <w:rPr>
          <w:rFonts w:ascii="Arial" w:hAnsi="Arial"/>
          <w:b w:val="0"/>
          <w:i w:val="0"/>
          <w:color w:val="263A43"/>
          <w:sz w:val="20"/>
        </w:rPr>
        <w:t xml:space="preserve"> la incapacidad permanente solicitada. Se acompaña copia de la resolución.</w:t>
      </w:r>
    </w:p>
    <w:p>
      <w:pPr>
        <w:widowControl/>
        <w:spacing w:after="100" w:line="274" w:lineRule="auto"/>
        <w:jc w:val="left"/>
      </w:pPr>
      <w:r>
        <w:rPr>
          <w:rFonts w:ascii="Arial" w:hAnsi="Arial"/>
          <w:b w:val="0"/>
          <w:i w:val="0"/>
          <w:color w:val="263A43"/>
          <w:sz w:val="20"/>
        </w:rPr>
        <w:t xml:space="preserve">SEGUNDO. Mi profesión habitual es </w:t>
      </w:r>
      <w:r>
        <w:rPr>
          <w:rFonts w:ascii="Arial" w:hAnsi="Arial"/>
          <w:b/>
          <w:i w:val="0"/>
          <w:color w:val="397CDD"/>
          <w:sz w:val="20"/>
          <w:shd w:fill="E8F0FB"/>
        </w:rPr>
        <w:t>[PROFESIÓN Y TAREAS ESENCIALES]</w:t>
      </w:r>
      <w:r>
        <w:rPr>
          <w:rFonts w:ascii="Arial" w:hAnsi="Arial"/>
          <w:b w:val="0"/>
          <w:i w:val="0"/>
          <w:color w:val="263A43"/>
          <w:sz w:val="20"/>
        </w:rPr>
        <w:t xml:space="preserve">. Las limitaciones funcionales relevantes, descritas sin sustituir el criterio médico, afectan a </w:t>
      </w:r>
      <w:r>
        <w:rPr>
          <w:rFonts w:ascii="Arial" w:hAnsi="Arial"/>
          <w:b/>
          <w:i w:val="0"/>
          <w:color w:val="397CDD"/>
          <w:sz w:val="20"/>
          <w:shd w:fill="E8F0FB"/>
        </w:rPr>
        <w:t>[BIPEDESTACIÓN / CARGAS / MOVILIDAD / CONCENTRACIÓN / RITMO / RELACIÓN / OTRAS EXIGENCIAS]</w:t>
      </w:r>
      <w:r>
        <w:rPr>
          <w:rFonts w:ascii="Arial" w:hAnsi="Arial"/>
          <w:b w:val="0"/>
          <w:i w:val="0"/>
          <w:color w:val="263A43"/>
          <w:sz w:val="20"/>
        </w:rPr>
        <w:t xml:space="preserve"> de esta manera: </w:t>
      </w:r>
      <w:r>
        <w:rPr>
          <w:rFonts w:ascii="Arial" w:hAnsi="Arial"/>
          <w:b/>
          <w:i w:val="0"/>
          <w:color w:val="397CDD"/>
          <w:sz w:val="20"/>
          <w:shd w:fill="E8F0FB"/>
        </w:rPr>
        <w:t>[LIMITACIONES CONCRETAS]</w:t>
      </w:r>
      <w:r>
        <w:rPr>
          <w:rFonts w:ascii="Arial" w:hAnsi="Arial"/>
          <w:b w:val="0"/>
          <w:i w:val="0"/>
          <w:color w:val="263A43"/>
          <w:sz w:val="20"/>
        </w:rPr>
        <w:t>.</w:t>
      </w:r>
    </w:p>
    <w:p>
      <w:pPr>
        <w:widowControl/>
        <w:spacing w:after="100" w:line="274" w:lineRule="auto"/>
        <w:jc w:val="left"/>
      </w:pPr>
      <w:r>
        <w:rPr>
          <w:rFonts w:ascii="Arial" w:hAnsi="Arial"/>
          <w:b w:val="0"/>
          <w:i w:val="0"/>
          <w:color w:val="263A43"/>
          <w:sz w:val="20"/>
        </w:rPr>
        <w:t xml:space="preserve">TERCERO. La resolución no valora adecuadamente </w:t>
      </w:r>
      <w:r>
        <w:rPr>
          <w:rFonts w:ascii="Arial" w:hAnsi="Arial"/>
          <w:b/>
          <w:i w:val="0"/>
          <w:color w:val="397CDD"/>
          <w:sz w:val="20"/>
          <w:shd w:fill="E8F0FB"/>
        </w:rPr>
        <w:t>[INFORMES, DIAGNÓSTICOS, TRATAMIENTOS, PRUEBAS O LIMITACIONES]</w:t>
      </w:r>
      <w:r>
        <w:rPr>
          <w:rFonts w:ascii="Arial" w:hAnsi="Arial"/>
          <w:b w:val="0"/>
          <w:i w:val="0"/>
          <w:color w:val="263A43"/>
          <w:sz w:val="20"/>
        </w:rPr>
        <w:t xml:space="preserve"> o su interacción conjunta con las tareas fundamentales de la profesión. Los documentos que lo respaldan son </w:t>
      </w:r>
      <w:r>
        <w:rPr>
          <w:rFonts w:ascii="Arial" w:hAnsi="Arial"/>
          <w:b/>
          <w:i w:val="0"/>
          <w:color w:val="397CDD"/>
          <w:sz w:val="20"/>
          <w:shd w:fill="E8F0FB"/>
        </w:rPr>
        <w:t>[RELACIÓN ORDENADA DE INFORMES Y FECHAS]</w:t>
      </w:r>
      <w:r>
        <w:rPr>
          <w:rFonts w:ascii="Arial" w:hAnsi="Arial"/>
          <w:b w:val="0"/>
          <w:i w:val="0"/>
          <w:color w:val="263A43"/>
          <w:sz w:val="20"/>
        </w:rPr>
        <w:t>.</w:t>
      </w:r>
    </w:p>
    <w:p>
      <w:pPr>
        <w:widowControl/>
        <w:spacing w:after="100" w:line="274" w:lineRule="auto"/>
        <w:jc w:val="left"/>
      </w:pPr>
      <w:r>
        <w:rPr>
          <w:rFonts w:ascii="Arial" w:hAnsi="Arial"/>
          <w:b w:val="0"/>
          <w:i w:val="0"/>
          <w:color w:val="263A43"/>
          <w:sz w:val="20"/>
        </w:rPr>
        <w:t xml:space="preserve">Por todo ello, SOLICITO que se revoque o revise la resolución impugnada y se reconozca </w:t>
      </w:r>
      <w:r>
        <w:rPr>
          <w:rFonts w:ascii="Arial" w:hAnsi="Arial"/>
          <w:b/>
          <w:i w:val="0"/>
          <w:color w:val="397CDD"/>
          <w:sz w:val="20"/>
          <w:shd w:fill="E8F0FB"/>
        </w:rPr>
        <w:t>[GRADO DE INCAPACIDAD SOLICITADO]</w:t>
      </w:r>
      <w:r>
        <w:rPr>
          <w:rFonts w:ascii="Arial" w:hAnsi="Arial"/>
          <w:b w:val="0"/>
          <w:i w:val="0"/>
          <w:color w:val="263A43"/>
          <w:sz w:val="20"/>
        </w:rPr>
        <w:t xml:space="preserve">, derivada de </w:t>
      </w:r>
      <w:r>
        <w:rPr>
          <w:rFonts w:ascii="Arial" w:hAnsi="Arial"/>
          <w:b/>
          <w:i w:val="0"/>
          <w:color w:val="397CDD"/>
          <w:sz w:val="20"/>
          <w:shd w:fill="E8F0FB"/>
        </w:rPr>
        <w:t>[CONTINGENCIA COMÚN / ACCIDENTE DE TRABAJO / ENFERMEDAD PROFESIONAL / ACCIDENTE NO LABORAL]</w:t>
      </w:r>
      <w:r>
        <w:rPr>
          <w:rFonts w:ascii="Arial" w:hAnsi="Arial"/>
          <w:b w:val="0"/>
          <w:i w:val="0"/>
          <w:color w:val="263A43"/>
          <w:sz w:val="20"/>
        </w:rPr>
        <w:t>, con los efectos económicos y administrativos que procedan. Subsidiariamente, solicito una nueva valoración completa de las limitaciones y de las tareas profesionales descritas.</w:t>
      </w:r>
    </w:p>
    <w:p>
      <w:pPr>
        <w:widowControl/>
        <w:spacing w:before="180" w:after="100" w:line="274" w:lineRule="auto"/>
        <w:jc w:val="left"/>
      </w:pPr>
      <w:r>
        <w:rPr>
          <w:rFonts w:ascii="Arial" w:hAnsi="Arial"/>
          <w:b w:val="0"/>
          <w:i w:val="0"/>
          <w:color w:val="263A43"/>
          <w:sz w:val="20"/>
        </w:rPr>
        <w:t>Atentamente,</w:t>
        <w:br/>
        <w:br/>
      </w:r>
      <w:r>
        <w:rPr>
          <w:rFonts w:ascii="Arial" w:hAnsi="Arial"/>
          <w:b/>
          <w:i w:val="0"/>
          <w:color w:val="397CDD"/>
          <w:sz w:val="20"/>
          <w:shd w:fill="E8F0FB"/>
        </w:rPr>
        <w:t>[FIRMA]</w:t>
      </w:r>
      <w:r>
        <w:rPr>
          <w:rFonts w:ascii="Arial" w:hAnsi="Arial"/>
          <w:b w:val="0"/>
          <w:i w:val="0"/>
          <w:color w:val="263A43"/>
          <w:sz w:val="20"/>
        </w:rPr>
        <w:br/>
      </w:r>
      <w:r>
        <w:rPr>
          <w:rFonts w:ascii="Arial" w:hAnsi="Arial"/>
          <w:b/>
          <w:i w:val="0"/>
          <w:color w:val="397CDD"/>
          <w:sz w:val="20"/>
          <w:shd w:fill="E8F0FB"/>
        </w:rPr>
        <w:t>[NOMBRE Y APELLIDOS]</w:t>
      </w:r>
    </w:p>
    <w:p>
      <w:pPr>
        <w:widowControl/>
        <w:spacing w:after="100" w:line="274" w:lineRule="auto"/>
        <w:jc w:val="left"/>
      </w:pPr>
      <w:r>
        <w:rPr>
          <w:rFonts w:ascii="Arial" w:hAnsi="Arial"/>
          <w:color w:val="263A43"/>
          <w:sz w:val="20"/>
        </w:rPr>
        <w:br w:type="page"/>
      </w:r>
    </w:p>
    <w:p>
      <w:pPr>
        <w:keepNext/>
        <w:widowControl/>
        <w:spacing w:before="140" w:after="80" w:line="274" w:lineRule="auto"/>
        <w:jc w:val="center"/>
        <w:pBdr>
          <w:top w:val="single" w:sz="8" w:space="6" w:color="9B6B3E"/>
        </w:pBdr>
      </w:pPr>
      <w:r>
        <w:rPr>
          <w:rFonts w:ascii="Georgia" w:hAnsi="Georgia"/>
          <w:b/>
          <w:i w:val="0"/>
          <w:caps/>
          <w:color w:val="102E3C"/>
          <w:sz w:val="34"/>
        </w:rPr>
        <w:t>GUÍA DE USO</w:t>
      </w:r>
    </w:p>
    <w:p>
      <w:pPr>
        <w:widowControl/>
        <w:spacing w:after="100" w:line="274" w:lineRule="auto"/>
        <w:jc w:val="left"/>
      </w:pPr>
      <w:r>
        <w:rPr>
          <w:rFonts w:ascii="Arial" w:hAnsi="Arial"/>
          <w:b/>
          <w:i w:val="0"/>
          <w:color w:val="263A43"/>
          <w:sz w:val="20"/>
        </w:rPr>
        <w:t>Reclamación previa por incapacidad permanente denegada</w:t>
      </w:r>
    </w:p>
    <w:p>
      <w:pPr>
        <w:keepNext/>
        <w:widowControl/>
        <w:spacing w:after="160" w:line="274" w:lineRule="auto"/>
        <w:jc w:val="center"/>
      </w:pPr>
      <w:r>
        <w:rPr>
          <w:rFonts w:ascii="Arial" w:hAnsi="Arial"/>
          <w:b/>
          <w:i w:val="0"/>
          <w:caps/>
          <w:color w:val="9B6B3E"/>
          <w:sz w:val="14"/>
        </w:rPr>
        <w:t>NO ENVÍES ESTA PÁGINA CON EL ESCRITO</w:t>
      </w:r>
    </w:p>
    <w:p>
      <w:pPr>
        <w:pStyle w:val="ModelNote"/>
        <w:shd w:fill="F4EFE7"/>
        <w:widowControl/>
        <w:pBdr>
          <w:left w:val="single" w:sz="18" w:space="7" w:color="9B6B3E"/>
        </w:pBdr>
        <w:spacing w:before="100" w:after="160" w:line="269" w:lineRule="auto"/>
        <w:ind w:left="144" w:right="144"/>
        <w:jc w:val="left"/>
      </w:pPr>
      <w:r>
        <w:t>El escrito aparece antes de esta guía. Completa los campos azules y elimina las alternativas incompatibles. Retira esta guía antes de entregar el escrito; conserva tu copia completa y el justificante de recepción.</w:t>
      </w:r>
    </w:p>
    <w:p>
      <w:pPr>
        <w:keepNext/>
        <w:widowControl/>
        <w:spacing w:before="240" w:after="100" w:line="274" w:lineRule="auto"/>
        <w:jc w:val="left"/>
      </w:pPr>
      <w:r>
        <w:rPr>
          <w:rFonts w:ascii="Arial" w:hAnsi="Arial"/>
          <w:b/>
          <w:i w:val="0"/>
          <w:color w:val="263A43"/>
          <w:sz w:val="20"/>
        </w:rPr>
        <w:t>Antes de enviarlo</w:t>
      </w:r>
    </w:p>
    <w:p>
      <w:pPr>
        <w:widowControl/>
        <w:spacing w:after="140" w:line="264" w:lineRule="auto"/>
        <w:jc w:val="left"/>
      </w:pPr>
      <w:r>
        <w:t>Para una resolución de incapacidad permanente, el artículo 71 LRJS establece generalmente treinta días hábiles administrativos para la reclamación previa desde su notificación y cuarenta y cinco días hábiles administrativos para que la entidad conteste. La demanda debe formularse en treinta días hábiles judiciales desde la denegación expresa o el silencio. Comprueba los calendarios y las excepciones: este régimen no es el de impugnación de altas médicas. Aporta las limitaciones funcionales y las tareas profesionales, no solo diagnósticos. Esta reclamación no sustituye la comunicación laboral del artículo 49.1.n ET.</w:t>
      </w:r>
    </w:p>
    <w:p>
      <w:pPr>
        <w:widowControl/>
      </w:pPr>
      <w:r>
        <w:t>Esta plantilla desarrolla especialmente la discrepancia con la valoración funcional o el grado. Si la denegación se basa en cotización, alta, contingencia o base reguladora, sustituye los fundamentos y petición por los de ese motivo y aporta vida laboral, bases y hechos relevantes. No alegues limitaciones médicas como única respuesta a una denegación por carencia. Comprueba la resolución íntegra.</w:t>
      </w:r>
    </w:p>
    <w:p>
      <w:pPr>
        <w:keepNext/>
        <w:widowControl/>
        <w:spacing w:before="240" w:after="100" w:line="274" w:lineRule="auto"/>
        <w:jc w:val="left"/>
      </w:pPr>
      <w:r>
        <w:rPr>
          <w:rFonts w:ascii="Arial" w:hAnsi="Arial"/>
          <w:b/>
          <w:i w:val="0"/>
          <w:color w:val="263A43"/>
          <w:sz w:val="20"/>
        </w:rPr>
        <w:t>Preparación y entrega</w:t>
      </w:r>
    </w:p>
    <w:p>
      <w:pPr>
        <w:widowControl/>
        <w:spacing w:after="100" w:line="274" w:lineRule="auto"/>
        <w:ind w:left="490" w:hanging="490"/>
        <w:jc w:val="left"/>
      </w:pPr>
      <w:r>
        <w:rPr>
          <w:rFonts w:ascii="Arial" w:hAnsi="Arial"/>
          <w:b/>
          <w:i w:val="0"/>
          <w:color w:val="263A43"/>
          <w:sz w:val="20"/>
        </w:rPr>
        <w:t xml:space="preserve">1.  </w:t>
      </w:r>
      <w:r>
        <w:rPr>
          <w:rFonts w:ascii="Arial" w:hAnsi="Arial"/>
          <w:b w:val="0"/>
          <w:i w:val="0"/>
          <w:color w:val="263A43"/>
          <w:sz w:val="20"/>
        </w:rPr>
        <w:t>Adjunta la resolución completa y ordena informes médicos, profesión y tareas, vida laboral y documentación funcional. No basta enumerar diagnósticos: relaciona limitaciones acreditadas con las exigencias reales del trabajo.</w:t>
      </w:r>
    </w:p>
    <w:p>
      <w:pPr>
        <w:widowControl/>
        <w:spacing w:after="100" w:line="274" w:lineRule="auto"/>
        <w:ind w:left="490" w:hanging="490"/>
        <w:jc w:val="left"/>
      </w:pPr>
      <w:r>
        <w:rPr>
          <w:rFonts w:ascii="Arial" w:hAnsi="Arial"/>
          <w:b/>
          <w:i w:val="0"/>
          <w:color w:val="263A43"/>
          <w:sz w:val="20"/>
        </w:rPr>
        <w:t xml:space="preserve">2.  </w:t>
      </w:r>
      <w:r>
        <w:rPr>
          <w:rFonts w:ascii="Arial" w:hAnsi="Arial"/>
          <w:b w:val="0"/>
          <w:i w:val="0"/>
          <w:color w:val="263A43"/>
          <w:sz w:val="20"/>
        </w:rPr>
        <w:t>Sustituye todos los campos entre corchetes y elimina las alternativas que no correspondan.</w:t>
      </w:r>
    </w:p>
    <w:p>
      <w:pPr>
        <w:widowControl/>
        <w:spacing w:after="100" w:line="274" w:lineRule="auto"/>
        <w:ind w:left="490" w:hanging="490"/>
        <w:jc w:val="left"/>
      </w:pPr>
      <w:r>
        <w:rPr>
          <w:rFonts w:ascii="Arial" w:hAnsi="Arial"/>
          <w:b/>
          <w:i w:val="0"/>
          <w:color w:val="263A43"/>
          <w:sz w:val="20"/>
        </w:rPr>
        <w:t xml:space="preserve">3.  </w:t>
      </w:r>
      <w:r>
        <w:rPr>
          <w:rFonts w:ascii="Arial" w:hAnsi="Arial"/>
          <w:b w:val="0"/>
          <w:i w:val="0"/>
          <w:color w:val="263A43"/>
          <w:sz w:val="20"/>
        </w:rPr>
        <w:t>Relee el escrito completo y comprueba nombres, fechas, hechos, cantidades y destinatario.</w:t>
      </w:r>
    </w:p>
    <w:p>
      <w:pPr>
        <w:widowControl/>
        <w:spacing w:after="100" w:line="274" w:lineRule="auto"/>
        <w:ind w:left="490" w:hanging="490"/>
        <w:jc w:val="left"/>
      </w:pPr>
      <w:r>
        <w:rPr>
          <w:rFonts w:ascii="Arial" w:hAnsi="Arial"/>
          <w:b/>
          <w:i w:val="0"/>
          <w:color w:val="263A43"/>
          <w:sz w:val="20"/>
        </w:rPr>
        <w:t xml:space="preserve">4.  </w:t>
      </w:r>
      <w:r>
        <w:rPr>
          <w:rFonts w:ascii="Arial" w:hAnsi="Arial"/>
          <w:b w:val="0"/>
          <w:i w:val="0"/>
          <w:color w:val="263A43"/>
          <w:sz w:val="20"/>
        </w:rPr>
        <w:t>Entrégalo por un medio que permita acreditar fecha, contenido y recepción; conserva una copia completa.</w:t>
      </w:r>
    </w:p>
    <w:p>
      <w:pPr>
        <w:keepNext/>
        <w:widowControl/>
        <w:spacing w:before="240" w:after="100" w:line="274" w:lineRule="auto"/>
        <w:jc w:val="left"/>
      </w:pPr>
      <w:r>
        <w:rPr>
          <w:rFonts w:ascii="Arial" w:hAnsi="Arial"/>
          <w:b/>
          <w:i w:val="0"/>
          <w:color w:val="263A43"/>
          <w:sz w:val="20"/>
        </w:rPr>
        <w:t>Fuentes oficiales de referencia</w:t>
      </w:r>
    </w:p>
    <w:p>
      <w:pPr>
        <w:widowControl/>
        <w:spacing w:after="100" w:line="274" w:lineRule="auto"/>
        <w:ind w:left="202"/>
        <w:jc w:val="left"/>
      </w:pPr>
      <w:hyperlink r:id="rId11">
        <w:r>
          <w:rPr>
            <w:color w:val="397CDD"/>
            <w:u w:val="single"/>
          </w:rPr>
          <w:t>Ley reguladora de la jurisdicción social, artículos 71 a 73 (BOE)</w:t>
        </w:r>
      </w:hyperlink>
    </w:p>
    <w:p>
      <w:pPr>
        <w:widowControl/>
        <w:spacing w:after="100" w:line="274" w:lineRule="auto"/>
        <w:ind w:left="202"/>
        <w:jc w:val="left"/>
      </w:pPr>
      <w:hyperlink r:id="rId12">
        <w:r>
          <w:rPr>
            <w:color w:val="397CDD"/>
            <w:u w:val="single"/>
          </w:rPr>
          <w:t>Ley General de la Seguridad Social, incapacidad permanente (BOE)</w:t>
        </w:r>
      </w:hyperlink>
    </w:p>
    <w:p>
      <w:pPr>
        <w:widowControl/>
        <w:spacing w:after="100" w:line="274" w:lineRule="auto"/>
        <w:ind w:left="202"/>
        <w:jc w:val="left"/>
      </w:pPr>
      <w:hyperlink r:id="rId13">
        <w:r>
          <w:rPr>
            <w:color w:val="397CDD"/>
            <w:u w:val="single"/>
          </w:rPr>
          <w:t>Solicitud oficial de incapacidad permanente (Seguridad Social)</w:t>
        </w:r>
      </w:hyperlink>
    </w:p>
    <w:p>
      <w:pPr>
        <w:pStyle w:val="ModelNote"/>
        <w:widowControl/>
        <w:shd w:fill="F4EFE7"/>
        <w:spacing w:before="100" w:after="160" w:line="269" w:lineRule="auto"/>
        <w:ind w:left="144" w:right="144"/>
        <w:jc w:val="left"/>
        <w:pBdr>
          <w:left w:val="single" w:sz="18" w:space="7" w:color="9B6B3E"/>
        </w:pBdr>
      </w:pPr>
      <w:r>
        <w:rPr>
          <w:rFonts w:ascii="Arial" w:hAnsi="Arial"/>
          <w:b/>
          <w:i w:val="0"/>
          <w:color w:val="263A43"/>
          <w:sz w:val="17"/>
        </w:rPr>
        <w:t>Modelo general y orientativo. El convenio, el contrato, las fechas, la prueba y las circunstancias personales pueden cambiar la redacción o el efecto jurídico.</w:t>
      </w:r>
    </w:p>
    <w:sectPr w:rsidR="00FC693F" w:rsidRPr="0006063C" w:rsidSect="00034616">
      <w:headerReference w:type="default" r:id="rId9"/>
      <w:footerReference w:type="default" r:id="rId10"/>
      <w:pgSz w:w="11909" w:h="16834"/>
      <w:pgMar w:top="1123" w:right="1181" w:bottom="1037" w:left="1181" w:header="432" w:footer="403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jc w:val="right"/>
    </w:pPr>
    <w:r>
      <w:rPr>
        <w:rFonts w:ascii="Arial" w:hAnsi="Arial"/>
        <w:color w:val="68777D"/>
        <w:sz w:val="14"/>
      </w:rPr>
      <w:t xml:space="preserve">Modelo orientativo · Revisión profesional según el caso · perezburgosabogados.es   </w:t>
    </w:r>
    <w:r>
      <w:rPr>
        <w:rFonts w:ascii="Arial" w:hAnsi="Arial"/>
        <w:color w:val="68777D"/>
        <w:sz w:val="15"/>
      </w:rPr>
      <w:fldChar w:fldCharType="begin"/>
      <w:instrText xml:space="preserve">PAGE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jc w:val="center"/>
    </w:pPr>
    <w:r>
      <w:rPr>
        <w:rFonts w:ascii="Georgia" w:hAnsi="Georgia"/>
        <w:b/>
        <w:color w:val="102E3C"/>
        <w:sz w:val="18"/>
      </w:rPr>
      <w:t>PÉREZ &amp; BURGOS</w:t>
    </w:r>
    <w:r>
      <w:rPr>
        <w:rFonts w:ascii="Arial" w:hAnsi="Arial"/>
        <w:b/>
        <w:color w:val="397CDD"/>
        <w:sz w:val="15"/>
      </w:rPr>
      <w:t xml:space="preserve">  ·  MODELOS JURÍDICOS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00" w:line="269" w:lineRule="auto"/>
      <w:jc w:val="left"/>
    </w:pPr>
    <w:rPr>
      <w:rFonts w:ascii="Arial" w:hAnsi="Arial"/>
      <w:color w:val="263A43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80" w:after="80"/>
      <w:outlineLvl w:val="0"/>
    </w:pPr>
    <w:rPr>
      <w:rFonts w:asciiTheme="majorHAnsi" w:eastAsiaTheme="majorEastAsia" w:hAnsiTheme="majorHAnsi" w:cstheme="majorBidi" w:ascii="Georgia" w:hAnsi="Georgia"/>
      <w:b/>
      <w:bCs/>
      <w:color w:val="102E3C"/>
      <w:sz w:val="31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80" w:after="80"/>
      <w:outlineLvl w:val="1"/>
    </w:pPr>
    <w:rPr>
      <w:rFonts w:asciiTheme="majorHAnsi" w:eastAsiaTheme="majorEastAsia" w:hAnsiTheme="majorHAnsi" w:cstheme="majorBidi" w:ascii="Georgia" w:hAnsi="Georgia"/>
      <w:b/>
      <w:bCs/>
      <w:color w:val="102E3C"/>
      <w:sz w:val="25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80" w:after="80"/>
      <w:outlineLvl w:val="2"/>
    </w:pPr>
    <w:rPr>
      <w:rFonts w:asciiTheme="majorHAnsi" w:eastAsiaTheme="majorEastAsia" w:hAnsiTheme="majorHAnsi" w:cstheme="majorBidi" w:ascii="Georgia" w:hAnsi="Georgia"/>
      <w:b/>
      <w:bCs/>
      <w:color w:val="102E3C"/>
      <w:sz w:val="2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pBdr>
        <w:bottom w:val="single" w:sz="8" w:space="4" w:color="4F81BD" w:themeColor="accent1"/>
      </w:pBdr>
      <w:spacing w:after="80" w:line="240" w:lineRule="auto" w:before="180"/>
      <w:contextualSpacing/>
    </w:pPr>
    <w:rPr>
      <w:rFonts w:asciiTheme="majorHAnsi" w:eastAsiaTheme="majorEastAsia" w:hAnsiTheme="majorHAnsi" w:cstheme="majorBidi" w:ascii="Georgia" w:hAnsi="Georgia"/>
      <w:b/>
      <w:color w:val="102E3C"/>
      <w:spacing w:val="5"/>
      <w:kern w:val="28"/>
      <w:sz w:val="4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160" w:line="280" w:lineRule="auto"/>
      <w:ind w:left="720" w:hanging="360"/>
      <w:contextualSpacing/>
    </w:pPr>
    <w:rPr>
      <w:rFonts w:ascii="Aptos" w:hAnsi="Aptos"/>
      <w:sz w:val="21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after="160" w:line="280" w:lineRule="auto"/>
      <w:ind w:left="720" w:hanging="360"/>
      <w:contextualSpacing/>
    </w:pPr>
    <w:rPr>
      <w:rFonts w:ascii="Aptos" w:hAnsi="Aptos"/>
      <w:sz w:val="21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ModelNote">
    <w:name w:val="Model Note"/>
    <w:pPr>
      <w:spacing w:before="120" w:after="120"/>
      <w:ind w:left="202" w:right="202"/>
    </w:pPr>
    <w:rPr>
      <w:rFonts w:ascii="Aptos" w:hAnsi="Aptos"/>
      <w:color w:val="5C6970"/>
      <w:sz w:val="19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hyperlink" Target="https://www.boe.es/buscar/act.php?id=BOE-A-2011-15936#a71" TargetMode="External"/><Relationship Id="rId12" Type="http://schemas.openxmlformats.org/officeDocument/2006/relationships/hyperlink" Target="https://www.boe.es/buscar/act.php?id=BOE-A-2015-11724#a193" TargetMode="External"/><Relationship Id="rId13" Type="http://schemas.openxmlformats.org/officeDocument/2006/relationships/hyperlink" Target="https://www.seg-social.es/wps/portal/wss/internet/Pensionistas/Servicios/34887/40968/41025/enl51116?changeLanguage=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>Modelo jurídico editable de Pérez &amp; Burgos Abogados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