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100" w:line="269" w:lineRule="auto"/>
        <w:jc w:val="center"/>
      </w:pPr>
      <w:r>
        <w:rPr>
          <w:rFonts w:ascii="Arial" w:hAnsi="Arial"/>
          <w:b/>
          <w:color w:val="263A43"/>
          <w:sz w:val="22"/>
        </w:rPr>
        <w:t>MODELO EDITABLE</w:t>
      </w:r>
    </w:p>
    <w:p>
      <w:pPr>
        <w:pStyle w:val="Title"/>
        <w:keepNext/>
        <w:spacing w:before="0" w:after="140"/>
        <w:jc w:val="center"/>
      </w:pPr>
      <w:r>
        <w:rPr>
          <w:rFonts w:ascii="Georgia" w:hAnsi="Georgia"/>
          <w:b/>
          <w:color w:val="000000"/>
          <w:sz w:val="39"/>
        </w:rPr>
        <w:t>Comunicación sobre sustitución de huelguistas</w:t>
      </w:r>
    </w:p>
    <w:p>
      <w:pPr>
        <w:widowControl/>
        <w:spacing w:after="100" w:line="269" w:lineRule="auto"/>
        <w:jc w:val="center"/>
      </w:pPr>
      <w:r>
        <w:rPr>
          <w:rFonts w:ascii="Arial" w:hAnsi="Arial"/>
          <w:b w:val="0"/>
          <w:i/>
          <w:color w:val="263A43"/>
          <w:sz w:val="18"/>
        </w:rPr>
        <w:t>Completa los campos en azul y elimina las opciones que no correspondan.</w:t>
      </w:r>
    </w:p>
    <w:p>
      <w:pPr>
        <w:widowControl/>
        <w:spacing w:after="100" w:line="269" w:lineRule="auto"/>
      </w:pPr>
      <w:r>
        <w:rPr>
          <w:rFonts w:ascii="Arial" w:hAnsi="Arial"/>
          <w:b/>
          <w:color w:val="263A43"/>
          <w:sz w:val="22"/>
        </w:rPr>
        <w:t xml:space="preserve">A LA ATENCIÓN DE </w:t>
      </w:r>
      <w:r>
        <w:rPr>
          <w:rFonts w:ascii="Arial" w:hAnsi="Arial"/>
          <w:b/>
          <w:color w:val="397CDD"/>
          <w:sz w:val="22"/>
        </w:rPr>
        <w:t>[EMPRESA Y PERSONA O DEPARTAMENTO DESTINATARIO]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 xml:space="preserve">De: </w:t>
      </w:r>
      <w:r>
        <w:rPr>
          <w:rFonts w:ascii="Arial" w:hAnsi="Arial"/>
          <w:b/>
          <w:color w:val="397CDD"/>
          <w:sz w:val="22"/>
        </w:rPr>
        <w:t>[NOMBRE Y APELLIDOS]</w:t>
      </w:r>
      <w:r>
        <w:rPr>
          <w:rFonts w:ascii="Arial" w:hAnsi="Arial"/>
          <w:b w:val="0"/>
          <w:color w:val="263A43"/>
          <w:sz w:val="22"/>
        </w:rPr>
        <w:t xml:space="preserve"> · </w:t>
      </w:r>
      <w:r>
        <w:rPr>
          <w:rFonts w:ascii="Arial" w:hAnsi="Arial"/>
          <w:b/>
          <w:color w:val="397CDD"/>
          <w:sz w:val="22"/>
        </w:rPr>
        <w:t>[PUESTO Y CENTRO]</w:t>
      </w:r>
      <w:r>
        <w:rPr>
          <w:rFonts w:ascii="Arial" w:hAnsi="Arial"/>
          <w:b w:val="0"/>
          <w:color w:val="263A43"/>
          <w:sz w:val="22"/>
        </w:rPr>
        <w:t xml:space="preserve"> · </w:t>
      </w:r>
      <w:r>
        <w:rPr>
          <w:rFonts w:ascii="Arial" w:hAnsi="Arial"/>
          <w:b/>
          <w:color w:val="397CDD"/>
          <w:sz w:val="22"/>
        </w:rPr>
        <w:t>[CONTACTO PARA RESPUESTA]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 xml:space="preserve">Actúo </w:t>
      </w:r>
      <w:r>
        <w:rPr>
          <w:rFonts w:ascii="Arial" w:hAnsi="Arial"/>
          <w:b/>
          <w:color w:val="397CDD"/>
          <w:sz w:val="22"/>
        </w:rPr>
        <w:t>[EN MI PROPIO NOMBRE / EN REPRESENTACIÓN ACREDITADA DE QUIEN CORRESPONDA]</w:t>
      </w:r>
      <w:r>
        <w:rPr>
          <w:rFonts w:ascii="Arial" w:hAnsi="Arial"/>
          <w:b w:val="0"/>
          <w:color w:val="263A43"/>
          <w:sz w:val="22"/>
        </w:rPr>
        <w:t xml:space="preserve">. En el segundo caso, adjunto </w:t>
      </w:r>
      <w:r>
        <w:rPr>
          <w:rFonts w:ascii="Arial" w:hAnsi="Arial"/>
          <w:b/>
          <w:color w:val="397CDD"/>
          <w:sz w:val="22"/>
        </w:rPr>
        <w:t>[ACREDITACIÓN Y ÁMBITO]</w:t>
      </w:r>
      <w:r>
        <w:rPr>
          <w:rFonts w:ascii="Arial" w:hAnsi="Arial"/>
          <w:b w:val="0"/>
          <w:color w:val="263A43"/>
          <w:sz w:val="22"/>
        </w:rPr>
        <w:t>.</w:t>
      </w:r>
    </w:p>
    <w:p>
      <w:pPr>
        <w:widowControl/>
        <w:spacing w:after="100" w:line="269" w:lineRule="auto"/>
      </w:pPr>
      <w:r>
        <w:rPr>
          <w:rFonts w:ascii="Arial" w:hAnsi="Arial"/>
          <w:b/>
          <w:color w:val="263A43"/>
          <w:sz w:val="22"/>
        </w:rPr>
        <w:t xml:space="preserve">En </w:t>
      </w:r>
      <w:r>
        <w:rPr>
          <w:rFonts w:ascii="Arial" w:hAnsi="Arial"/>
          <w:b/>
          <w:color w:val="397CDD"/>
          <w:sz w:val="22"/>
        </w:rPr>
        <w:t>[LOCALIDAD]</w:t>
      </w:r>
      <w:r>
        <w:rPr>
          <w:rFonts w:ascii="Arial" w:hAnsi="Arial"/>
          <w:b/>
          <w:color w:val="263A43"/>
          <w:sz w:val="22"/>
        </w:rPr>
        <w:t xml:space="preserve">, a </w:t>
      </w:r>
      <w:r>
        <w:rPr>
          <w:rFonts w:ascii="Arial" w:hAnsi="Arial"/>
          <w:b/>
          <w:color w:val="397CDD"/>
          <w:sz w:val="22"/>
        </w:rPr>
        <w:t>[FECHA]</w:t>
      </w:r>
      <w:r>
        <w:rPr>
          <w:rFonts w:ascii="Arial" w:hAnsi="Arial"/>
          <w:b/>
          <w:color w:val="263A43"/>
          <w:sz w:val="22"/>
        </w:rPr>
        <w:t xml:space="preserve">. Asunto: comunicación de hechos y solicitud de revisión durante la huelga de </w:t>
      </w:r>
      <w:r>
        <w:rPr>
          <w:rFonts w:ascii="Arial" w:hAnsi="Arial"/>
          <w:b/>
          <w:color w:val="397CDD"/>
          <w:sz w:val="22"/>
        </w:rPr>
        <w:t>[FECHAS Y FRANJAS]</w:t>
      </w:r>
      <w:r>
        <w:rPr>
          <w:rFonts w:ascii="Arial" w:hAnsi="Arial"/>
          <w:b/>
          <w:color w:val="263A43"/>
          <w:sz w:val="22"/>
        </w:rPr>
        <w:t>.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 xml:space="preserve">La convocatoria de </w:t>
      </w:r>
      <w:r>
        <w:rPr>
          <w:rFonts w:ascii="Arial" w:hAnsi="Arial"/>
          <w:b/>
          <w:color w:val="397CDD"/>
          <w:sz w:val="22"/>
        </w:rPr>
        <w:t>[CONVOCANTE]</w:t>
      </w:r>
      <w:r>
        <w:rPr>
          <w:rFonts w:ascii="Arial" w:hAnsi="Arial"/>
          <w:b w:val="0"/>
          <w:color w:val="263A43"/>
          <w:sz w:val="22"/>
        </w:rPr>
        <w:t xml:space="preserve"> afecta a </w:t>
      </w:r>
      <w:r>
        <w:rPr>
          <w:rFonts w:ascii="Arial" w:hAnsi="Arial"/>
          <w:b/>
          <w:color w:val="397CDD"/>
          <w:sz w:val="22"/>
        </w:rPr>
        <w:t>[ÁMBITO]</w:t>
      </w:r>
      <w:r>
        <w:rPr>
          <w:rFonts w:ascii="Arial" w:hAnsi="Arial"/>
          <w:b w:val="0"/>
          <w:color w:val="263A43"/>
          <w:sz w:val="22"/>
        </w:rPr>
        <w:t>. Comunico los hechos observados que expongo a continuación, para que se compruebe si determinadas decisiones están sustituyendo el servicio que dejan de aportar las personas huelguistas y limitando los efectos del paro.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 xml:space="preserve">Antes de la convocatoria o en días realmente comparables, la organización era </w:t>
      </w:r>
      <w:r>
        <w:rPr>
          <w:rFonts w:ascii="Arial" w:hAnsi="Arial"/>
          <w:b/>
          <w:color w:val="397CDD"/>
          <w:sz w:val="22"/>
        </w:rPr>
        <w:t>[TAREAS, TURNOS, MEDIOS Y CAPACIDAD HABITUALES]</w:t>
      </w:r>
      <w:r>
        <w:rPr>
          <w:rFonts w:ascii="Arial" w:hAnsi="Arial"/>
          <w:b w:val="0"/>
          <w:color w:val="263A43"/>
          <w:sz w:val="22"/>
        </w:rPr>
        <w:t xml:space="preserve">. Durante el paro he observado </w:t>
      </w:r>
      <w:r>
        <w:rPr>
          <w:rFonts w:ascii="Arial" w:hAnsi="Arial"/>
          <w:b/>
          <w:color w:val="397CDD"/>
          <w:sz w:val="22"/>
        </w:rPr>
        <w:t>[CAMBIO CONCRETO, FECHA, HORA, SERVICIO Y ORDEN O COMUNICACIÓN]</w:t>
      </w:r>
      <w:r>
        <w:rPr>
          <w:rFonts w:ascii="Arial" w:hAnsi="Arial"/>
          <w:b w:val="0"/>
          <w:color w:val="263A43"/>
          <w:sz w:val="22"/>
        </w:rPr>
        <w:t xml:space="preserve">. El efecto apreciable fue </w:t>
      </w:r>
      <w:r>
        <w:rPr>
          <w:rFonts w:ascii="Arial" w:hAnsi="Arial"/>
          <w:b/>
          <w:color w:val="397CDD"/>
          <w:sz w:val="22"/>
        </w:rPr>
        <w:t>[RESULTADO Y SU FUENTE]</w:t>
      </w:r>
      <w:r>
        <w:rPr>
          <w:rFonts w:ascii="Arial" w:hAnsi="Arial"/>
          <w:b w:val="0"/>
          <w:color w:val="263A43"/>
          <w:sz w:val="22"/>
        </w:rPr>
        <w:t xml:space="preserve">. Distingo de estos hechos lo que no puedo confirmar: </w:t>
      </w:r>
      <w:r>
        <w:rPr>
          <w:rFonts w:ascii="Arial" w:hAnsi="Arial"/>
          <w:b/>
          <w:color w:val="397CDD"/>
          <w:sz w:val="22"/>
        </w:rPr>
        <w:t>[INCERTIDUMBRES]</w:t>
      </w:r>
      <w:r>
        <w:rPr>
          <w:rFonts w:ascii="Arial" w:hAnsi="Arial"/>
          <w:b w:val="0"/>
          <w:color w:val="263A43"/>
          <w:sz w:val="22"/>
        </w:rPr>
        <w:t>.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 xml:space="preserve">Si existen servicios mínimos: </w:t>
      </w:r>
      <w:r>
        <w:rPr>
          <w:rFonts w:ascii="Arial" w:hAnsi="Arial"/>
          <w:b/>
          <w:color w:val="397CDD"/>
          <w:sz w:val="22"/>
        </w:rPr>
        <w:t>[RESOLUCIÓN, FECHA, AUTORIDAD, DESIGNACIÓN Y ALCANCE CONOCIDO / ELIMINAR ESTE PÁRRAFO]</w:t>
      </w:r>
      <w:r>
        <w:rPr>
          <w:rFonts w:ascii="Arial" w:hAnsi="Arial"/>
          <w:b w:val="0"/>
          <w:color w:val="263A43"/>
          <w:sz w:val="22"/>
        </w:rPr>
        <w:t>. Esta comunicación se refiere a su ejecución empresarial y no sustituye una impugnación de la resolución ni dispensa de cumplir una designación válida.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 xml:space="preserve">Solicito que se revise la actuación descrita, se explique su justificación y se conserven los registros pertinentes de programación, órdenes y ejecución de </w:t>
      </w:r>
      <w:r>
        <w:rPr>
          <w:rFonts w:ascii="Arial" w:hAnsi="Arial"/>
          <w:b/>
          <w:color w:val="397CDD"/>
          <w:sz w:val="22"/>
        </w:rPr>
        <w:t>[PERIODO Y SERVICIO]</w:t>
      </w:r>
      <w:r>
        <w:rPr>
          <w:rFonts w:ascii="Arial" w:hAnsi="Arial"/>
          <w:b w:val="0"/>
          <w:color w:val="263A43"/>
          <w:sz w:val="22"/>
        </w:rPr>
        <w:t>. Si se constata una interferencia ilegítima en el derecho de huelga, solicito su cese y la adopción de las medidas que procedan, sin represalias.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 xml:space="preserve">Pido respuesta por </w:t>
      </w:r>
      <w:r>
        <w:rPr>
          <w:rFonts w:ascii="Arial" w:hAnsi="Arial"/>
          <w:b/>
          <w:color w:val="397CDD"/>
          <w:sz w:val="22"/>
        </w:rPr>
        <w:t>[CANAL]</w:t>
      </w:r>
      <w:r>
        <w:rPr>
          <w:rFonts w:ascii="Arial" w:hAnsi="Arial"/>
          <w:b w:val="0"/>
          <w:color w:val="263A43"/>
          <w:sz w:val="22"/>
        </w:rPr>
        <w:t xml:space="preserve">. La proximidad de </w:t>
      </w:r>
      <w:r>
        <w:rPr>
          <w:rFonts w:ascii="Arial" w:hAnsi="Arial"/>
          <w:b/>
          <w:color w:val="397CDD"/>
          <w:sz w:val="22"/>
        </w:rPr>
        <w:t>[PRÓXIMA FRANJA O ACTUACIÓN]</w:t>
      </w:r>
      <w:r>
        <w:rPr>
          <w:rFonts w:ascii="Arial" w:hAnsi="Arial"/>
          <w:b w:val="0"/>
          <w:color w:val="263A43"/>
          <w:sz w:val="22"/>
        </w:rPr>
        <w:t xml:space="preserve"> justifica revisar la situación con prontitud. No solicito acceso indiscriminado a datos personales o secretos empresariales, sino la información pertinente conforme a mi legitimación y las garantías aplicables.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 xml:space="preserve">Adjunto </w:t>
      </w:r>
      <w:r>
        <w:rPr>
          <w:rFonts w:ascii="Arial" w:hAnsi="Arial"/>
          <w:b/>
          <w:color w:val="397CDD"/>
          <w:sz w:val="22"/>
        </w:rPr>
        <w:t>[CONVOCATORIA, CUADRANTES, COMUNICACIONES Y OTROS DOCUMENTOS OBTENIDOS LÍCITAMENTE]</w:t>
      </w:r>
      <w:r>
        <w:rPr>
          <w:rFonts w:ascii="Arial" w:hAnsi="Arial"/>
          <w:b w:val="0"/>
          <w:color w:val="263A43"/>
          <w:sz w:val="22"/>
        </w:rPr>
        <w:t>. La comunicación no supone renuncia a acciones ni sustituye su ejercicio en plazo.</w:t>
      </w:r>
    </w:p>
    <w:p>
      <w:pPr>
        <w:widowControl/>
        <w:spacing w:after="100" w:line="269" w:lineRule="auto"/>
      </w:pPr>
      <w:r>
        <w:rPr>
          <w:rFonts w:ascii="Arial" w:hAnsi="Arial"/>
          <w:b/>
          <w:color w:val="263A43"/>
          <w:sz w:val="22"/>
        </w:rPr>
        <w:t xml:space="preserve">Firma: </w:t>
      </w:r>
      <w:r>
        <w:rPr>
          <w:rFonts w:ascii="Arial" w:hAnsi="Arial"/>
          <w:b/>
          <w:color w:val="397CDD"/>
          <w:sz w:val="22"/>
        </w:rPr>
        <w:t>[NOMBRE Y CONDICIÓN EN LA QUE FIRMA]</w:t>
      </w:r>
      <w:r>
        <w:rPr>
          <w:rFonts w:ascii="Arial" w:hAnsi="Arial"/>
          <w:b/>
          <w:color w:val="263A43"/>
          <w:sz w:val="22"/>
        </w:rPr>
        <w:br/>
        <w:t xml:space="preserve">Recepción: </w:t>
      </w:r>
      <w:r>
        <w:rPr>
          <w:rFonts w:ascii="Arial" w:hAnsi="Arial"/>
          <w:b/>
          <w:color w:val="397CDD"/>
          <w:sz w:val="22"/>
        </w:rPr>
        <w:t>[FECHA, CANAL Y JUSTIFICANTE]</w:t>
      </w:r>
    </w:p>
    <w:p>
      <w:r/>
    </w:p>
    <w:p>
      <w:pPr>
        <w:pStyle w:val="Title"/>
        <w:keepNext/>
        <w:pageBreakBefore/>
        <w:spacing w:before="0" w:after="140"/>
        <w:jc w:val="center"/>
      </w:pPr>
      <w:r>
        <w:rPr>
          <w:rFonts w:ascii="Georgia" w:hAnsi="Georgia"/>
          <w:b/>
          <w:color w:val="000000"/>
          <w:sz w:val="39"/>
        </w:rPr>
        <w:t>Guía de uso del modelo</w:t>
      </w:r>
    </w:p>
    <w:p>
      <w:pPr>
        <w:widowControl/>
        <w:spacing w:after="100" w:line="269" w:lineRule="auto"/>
      </w:pPr>
      <w:r>
        <w:rPr>
          <w:rFonts w:ascii="Arial" w:hAnsi="Arial"/>
          <w:b/>
          <w:color w:val="263A43"/>
          <w:sz w:val="22"/>
        </w:rPr>
        <w:t>NO ENVÍES ESTA GUÍA CON EL ESCRITO</w:t>
      </w:r>
    </w:p>
    <w:p>
      <w:pPr>
        <w:pStyle w:val="Heading2"/>
        <w:keepNext/>
        <w:spacing w:before="200" w:after="100"/>
      </w:pPr>
      <w:r>
        <w:rPr>
          <w:color w:val="000000"/>
        </w:rPr>
        <w:t>Cuándo utilizarlo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>Para dejar constancia de hechos que podrían revelar sustitución de huelguistas mediante personal, cambios organizativos o medios técnicos. Un trabajador firma por sus propios derechos; para representar a un colectivo debe acreditar su legitimación. El modelo no es una demanda ni una solicitud judicial de medidas cautelares.</w:t>
      </w:r>
    </w:p>
    <w:p>
      <w:pPr>
        <w:pStyle w:val="Heading2"/>
        <w:keepNext/>
        <w:spacing w:before="200" w:after="100"/>
      </w:pPr>
      <w:r>
        <w:rPr>
          <w:color w:val="000000"/>
        </w:rPr>
        <w:t>Prepara una comparación verificable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>Completa este inventario para preparar la prueba. Puedes adjuntarlo después de eliminar las instrucciones y los datos no acreditados. Compara días, servicios y demanda semejantes; identifica la fuente y sus límites.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757"/>
        <w:gridCol w:w="2268"/>
        <w:gridCol w:w="2268"/>
        <w:gridCol w:w="3231"/>
      </w:tblGrid>
      <w:tr>
        <w:trPr>
          <w:tblHeader/>
          <w:cantSplit/>
        </w:trPr>
        <w:tc>
          <w:tcPr>
            <w:tcW w:type="dxa" w:w="1757"/>
            <w:vAlign w:val="center"/>
            <w:shd w:fill="EDF0F2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263A43"/>
                <w:sz w:val="22"/>
              </w:rPr>
              <w:t>Dato</w:t>
            </w:r>
          </w:p>
        </w:tc>
        <w:tc>
          <w:tcPr>
            <w:tcW w:type="dxa" w:w="2268"/>
            <w:vAlign w:val="center"/>
            <w:shd w:fill="EDF0F2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263A43"/>
                <w:sz w:val="22"/>
              </w:rPr>
              <w:t>Antes o día comparable</w:t>
            </w:r>
          </w:p>
        </w:tc>
        <w:tc>
          <w:tcPr>
            <w:tcW w:type="dxa" w:w="2268"/>
            <w:vAlign w:val="center"/>
            <w:shd w:fill="EDF0F2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263A43"/>
                <w:sz w:val="22"/>
              </w:rPr>
              <w:t>Durante el paro</w:t>
            </w:r>
          </w:p>
        </w:tc>
        <w:tc>
          <w:tcPr>
            <w:tcW w:type="dxa" w:w="3231"/>
            <w:vAlign w:val="center"/>
            <w:shd w:fill="EDF0F2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263A43"/>
                <w:sz w:val="22"/>
              </w:rPr>
              <w:t>Fuente y límites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 w:val="0"/>
                <w:color w:val="263A43"/>
                <w:sz w:val="22"/>
              </w:rPr>
              <w:t>Tareas y horarios</w:t>
            </w:r>
          </w:p>
        </w:tc>
        <w:tc>
          <w:tcPr>
            <w:tcW w:type="dxa" w:w="2268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[DATO]</w:t>
            </w:r>
          </w:p>
        </w:tc>
        <w:tc>
          <w:tcPr>
            <w:tcW w:type="dxa" w:w="2268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[DATO]</w:t>
            </w:r>
          </w:p>
        </w:tc>
        <w:tc>
          <w:tcPr>
            <w:tcW w:type="dxa" w:w="3231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[DOCUMENTO O FUENTE]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 w:val="0"/>
                <w:color w:val="263A43"/>
                <w:sz w:val="22"/>
              </w:rPr>
              <w:t>Capacidad o producción</w:t>
            </w:r>
          </w:p>
        </w:tc>
        <w:tc>
          <w:tcPr>
            <w:tcW w:type="dxa" w:w="2268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[DATO]</w:t>
            </w:r>
          </w:p>
        </w:tc>
        <w:tc>
          <w:tcPr>
            <w:tcW w:type="dxa" w:w="2268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[DATO]</w:t>
            </w:r>
          </w:p>
        </w:tc>
        <w:tc>
          <w:tcPr>
            <w:tcW w:type="dxa" w:w="3231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[DOCUMENTO O FUENTE]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 w:val="0"/>
                <w:color w:val="263A43"/>
                <w:sz w:val="22"/>
              </w:rPr>
              <w:t>Personal y funciones</w:t>
            </w:r>
          </w:p>
        </w:tc>
        <w:tc>
          <w:tcPr>
            <w:tcW w:type="dxa" w:w="2268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[DATO]</w:t>
            </w:r>
          </w:p>
        </w:tc>
        <w:tc>
          <w:tcPr>
            <w:tcW w:type="dxa" w:w="2268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[DATO]</w:t>
            </w:r>
          </w:p>
        </w:tc>
        <w:tc>
          <w:tcPr>
            <w:tcW w:type="dxa" w:w="3231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[DOCUMENTO O FUENTE]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 w:val="0"/>
                <w:color w:val="263A43"/>
                <w:sz w:val="22"/>
              </w:rPr>
              <w:t>Orden y justificación</w:t>
            </w:r>
          </w:p>
        </w:tc>
        <w:tc>
          <w:tcPr>
            <w:tcW w:type="dxa" w:w="2268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[DATO]</w:t>
            </w:r>
          </w:p>
        </w:tc>
        <w:tc>
          <w:tcPr>
            <w:tcW w:type="dxa" w:w="2268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[DATO]</w:t>
            </w:r>
          </w:p>
        </w:tc>
        <w:tc>
          <w:tcPr>
            <w:tcW w:type="dxa" w:w="3231"/>
            <w:vAlign w:val="center"/>
          </w:tcPr>
          <w:p>
            <w:pPr>
              <w:spacing w:after="20" w:line="259" w:lineRule="auto"/>
            </w:pPr>
            <w:r>
              <w:rPr>
                <w:rFonts w:ascii="Arial" w:hAnsi="Arial"/>
                <w:b/>
                <w:color w:val="397CDD"/>
                <w:sz w:val="22"/>
              </w:rPr>
              <w:t>[DOCUMENTO O FUENTE]</w:t>
            </w:r>
          </w:p>
        </w:tc>
      </w:tr>
    </w:tbl>
    <w:p>
      <w:pPr>
        <w:pStyle w:val="Heading2"/>
        <w:keepNext/>
        <w:spacing w:before="200" w:after="100"/>
      </w:pPr>
      <w:r>
        <w:rPr>
          <w:color w:val="000000"/>
        </w:rPr>
        <w:t>Qué comprobar antes de enviarlo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>La STC 24/2026, FJ 4 y 5, exige analizar la sustitución del servicio y la reducción de los efectos de la huelga. No prohíbe de forma general toda tecnología ni todo trabajo de quien no secunda el paro. La STS 778/2025 estudia un aumento extraordinario de capacidad en Renfe: respetar el número de servicios mínimos no resuelve por sí solo cómo se ejecutan.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>No incluyas cifras como indemnización automática: las cantidades concedidas en esas sentencias corresponden a sus casos y beneficiarios. No obtengas pruebas vulnerando derechos ni difundas datos de compañeros. Si hay despido o sanción, revisa de inmediato la vía y su caducidad; una comunicación interna no suspende por sí sola esos plazos.</w:t>
      </w:r>
    </w:p>
    <w:p>
      <w:pPr>
        <w:pStyle w:val="Heading2"/>
        <w:keepNext/>
        <w:spacing w:before="200" w:after="100"/>
      </w:pPr>
      <w:r>
        <w:rPr>
          <w:color w:val="000000"/>
        </w:rPr>
        <w:t>Fuentes y siguiente paso</w:t>
      </w:r>
    </w:p>
    <w:p>
      <w:pPr>
        <w:widowControl/>
        <w:spacing w:after="100" w:line="269" w:lineRule="auto"/>
      </w:pPr>
      <w:r>
        <w:rPr>
          <w:rFonts w:ascii="Arial" w:hAnsi="Arial"/>
          <w:b w:val="0"/>
          <w:color w:val="263A43"/>
          <w:sz w:val="22"/>
        </w:rPr>
        <w:t>Artículo 28.2 CE; RDL 17/1977, artículos 6.5 y 10 interpretados constitucionalmente; STC 24/2026 de 12 de marzo, BOE-A-2026-8279; STS 778/2025 de 16 de septiembre, ECLI:ES:TS:2025:3957. Consulta la guía y sus enlaces oficiales en perezburgosabogados.es/derecho-huelga-descuentos-nomina/. Revisión: 10 de octubre de 2026.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380" w:footer="3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000000"/>
        <w:sz w:val="18"/>
      </w:rPr>
      <w:t>PÉREZ &amp; BURGOS</w:t>
    </w:r>
    <w:r>
      <w:rPr>
        <w:rFonts w:ascii="Arial" w:hAnsi="Arial"/>
        <w:b/>
        <w:color w:val="000000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263A4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23" TargetMode="External"/><Relationship Id="rId12" Type="http://schemas.openxmlformats.org/officeDocument/2006/relationships/hyperlink" Target="https://www.boe.es/buscar/act.php?id=BOE-A-2015-11430#a23" TargetMode="External"/><Relationship Id="rId13" Type="http://schemas.openxmlformats.org/officeDocument/2006/relationships/hyperlink" Target="https://www.poderjudicial.es/search/AN/openDocument/bc8967c890663d1fa0a8778d75e36f0d/202607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sobre sustitución de huelguistas</dc:title>
  <dc:subject>Modelo laboral editable y guía de uso</dc:subject>
  <dc:creator>Pérez &amp; Burgos Abogados</dc:creator>
  <cp:keywords>Laboral; modelo editable; revisión 2026-10-10</cp:keywords>
  <dc:description>Información general. Comprobar hechos, legitimación, normativa y plazos antes de utilizar.</dc:description>
  <cp:lastModifiedBy>Pérez &amp; Burgos Abogados</cp:lastModifiedBy>
  <cp:revision>1</cp:revision>
  <dcterms:created xsi:type="dcterms:W3CDTF">2026-09-30T23:14:46Z</dcterms:created>
  <dcterms:modified xsi:type="dcterms:W3CDTF">2026-09-30T23:14:46Z</dcterms:modified>
  <cp:category/>
</cp:coreProperties>
</file>