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Comunicación de baja voluntaria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Baja voluntaria y fecha de efectos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Por medio de la presente comunico mi decisión de causar baja voluntaria en la empresa, al amparo del artículo 49.1.d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baja tendrá efectos el día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EFECTOS]</w:t>
      </w:r>
      <w:r>
        <w:rPr>
          <w:rFonts w:ascii="Arial" w:hAnsi="Arial"/>
          <w:b w:val="0"/>
          <w:i w:val="0"/>
          <w:color w:val="263A43"/>
          <w:sz w:val="20"/>
        </w:rPr>
        <w:t xml:space="preserve">. Mi último día de prestación de servicios será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[ÚLTIMO DÍA DE TRABAJO]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que, al finalizar la relación laboral, se me entregue la liquidación desglosada de las cantidades pendientes, el certificado de empresa y la restante documentación que corresponda.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acusen recibo de esta comunicación, dejando constancia de su fecha de entrega.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Comunicación de baja voluntaria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El Estatuto no fija un preaviso general de quince días para toda baja voluntaria: comprueba el convenio, el contrato y, en su caso, la costumbre aplicable antes de completar las fechas.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No es necesario explicar el motivo. Conserva una copia con prueba de fecha, contenido y recepción.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49.1.d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baja voluntaria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