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spacing w:after="60"/>
        <w:jc w:val="center"/>
      </w:pPr>
      <w:r>
        <w:rPr>
          <w:rFonts w:ascii="Arial" w:hAnsi="Arial"/>
          <w:b/>
          <w:color w:val="397CDD"/>
          <w:sz w:val="16"/>
        </w:rPr>
        <w:t>FAMILIA</w:t>
      </w:r>
    </w:p>
    <w:p>
      <w:pPr>
        <w:pStyle w:val="Title"/>
        <w:jc w:val="center"/>
      </w:pPr>
      <w:r>
        <w:rPr>
          <w:rFonts w:ascii="Georgia" w:hAnsi="Georgia"/>
          <w:b/>
          <w:color w:val="102E3C"/>
          <w:sz w:val="42"/>
        </w:rPr>
        <w:t>Invitación a negociar una modificación de medidas familiares</w:t>
      </w:r>
    </w:p>
    <w:p>
      <w:pPr>
        <w:widowControl/>
        <w:spacing w:after="60"/>
        <w:jc w:val="center"/>
      </w:pPr>
      <w:r>
        <w:rPr>
          <w:rFonts w:ascii="Arial" w:hAnsi="Arial"/>
          <w:color w:val="68777D"/>
          <w:sz w:val="20"/>
        </w:rPr>
        <w:t>Invitar a una negociación real sobre una modificación familiar legalmente negociable, delimitando objeto, prueba del intento y reserva de aprobación judicial.</w:t>
      </w:r>
    </w:p>
    <w:p>
      <w:pPr>
        <w:pStyle w:val="Heading1"/>
        <w:jc w:val="center"/>
      </w:pPr>
      <w:r>
        <w:t>MODELO EDITABLE</w:t>
      </w:r>
    </w:p>
    <w:p>
      <w:pPr>
        <w:pStyle w:val="Heading2"/>
        <w:keepNext/>
        <w:spacing w:before="120" w:after="60"/>
      </w:pPr>
      <w:r>
        <w:t>INVITACIÓN A NEGOCIACIÓN SOBRE MODIFICACIÓN DE MEDIDAS FAMILIARES</w:t>
      </w:r>
    </w:p>
    <w:p>
      <w:pPr>
        <w:widowControl/>
        <w:spacing w:after="60"/>
        <w:jc w:val="left"/>
      </w:pPr>
      <w:r>
        <w:rPr>
          <w:rFonts w:ascii="Arial" w:hAnsi="Arial"/>
          <w:color w:val="263A43"/>
          <w:sz w:val="20"/>
        </w:rPr>
        <w:t xml:space="preserve">Destinatario: </w:t>
      </w:r>
      <w:r>
        <w:rPr>
          <w:rFonts w:ascii="Arial" w:hAnsi="Arial"/>
          <w:b/>
          <w:color w:val="397CDD"/>
          <w:sz w:val="20"/>
          <w:shd w:fill="E8F0FB"/>
        </w:rPr>
        <w:t>[NOMBRE, DOMICILIO O CANAL FEHACIENTE]</w:t>
      </w:r>
      <w:r>
        <w:rPr>
          <w:rFonts w:ascii="Arial" w:hAnsi="Arial"/>
          <w:color w:val="263A43"/>
          <w:sz w:val="20"/>
        </w:rPr>
        <w:t>.</w:t>
      </w:r>
    </w:p>
    <w:p>
      <w:pPr>
        <w:widowControl/>
        <w:spacing w:after="60"/>
        <w:jc w:val="left"/>
      </w:pPr>
      <w:r>
        <w:rPr>
          <w:rFonts w:ascii="Arial" w:hAnsi="Arial"/>
          <w:color w:val="263A43"/>
          <w:sz w:val="20"/>
        </w:rPr>
        <w:t xml:space="preserve">Promotor: </w:t>
      </w:r>
      <w:r>
        <w:rPr>
          <w:rFonts w:ascii="Arial" w:hAnsi="Arial"/>
          <w:b/>
          <w:color w:val="397CDD"/>
          <w:sz w:val="20"/>
          <w:shd w:fill="E8F0FB"/>
        </w:rPr>
        <w:t>[NOMBRE, DNI/NIE Y DATOS]</w:t>
      </w:r>
      <w:r>
        <w:rPr>
          <w:rFonts w:ascii="Arial" w:hAnsi="Arial"/>
          <w:color w:val="263A43"/>
          <w:sz w:val="20"/>
        </w:rPr>
        <w:t xml:space="preserve">, asistido por </w:t>
      </w:r>
      <w:r>
        <w:rPr>
          <w:rFonts w:ascii="Arial" w:hAnsi="Arial"/>
          <w:b/>
          <w:color w:val="397CDD"/>
          <w:sz w:val="20"/>
          <w:shd w:fill="E8F0FB"/>
        </w:rPr>
        <w:t>[PROFESIONAL Y DATOS, SI PROCEDE]</w:t>
      </w:r>
      <w:r>
        <w:rPr>
          <w:rFonts w:ascii="Arial" w:hAnsi="Arial"/>
          <w:color w:val="263A43"/>
          <w:sz w:val="20"/>
        </w:rPr>
        <w:t>.</w:t>
      </w:r>
    </w:p>
    <w:p>
      <w:pPr>
        <w:widowControl/>
        <w:spacing w:after="60"/>
        <w:jc w:val="left"/>
      </w:pPr>
      <w:r>
        <w:rPr>
          <w:rFonts w:ascii="Arial" w:hAnsi="Arial"/>
          <w:color w:val="263A43"/>
          <w:sz w:val="20"/>
        </w:rPr>
        <w:t xml:space="preserve">Objeto: </w:t>
      </w:r>
      <w:r>
        <w:rPr>
          <w:rFonts w:ascii="Arial" w:hAnsi="Arial"/>
          <w:b/>
          <w:color w:val="397CDD"/>
          <w:sz w:val="20"/>
          <w:shd w:fill="E8F0FB"/>
        </w:rPr>
        <w:t>[IDENTIFICAR CON PRECISIÓN LAS MEDIDAS CUYA MODIFICACIÓN SE PROPONE EXPLORAR]</w:t>
      </w:r>
      <w:r>
        <w:rPr>
          <w:rFonts w:ascii="Arial" w:hAnsi="Arial"/>
          <w:color w:val="263A43"/>
          <w:sz w:val="20"/>
        </w:rPr>
        <w:t>.</w:t>
      </w:r>
    </w:p>
    <w:p>
      <w:pPr>
        <w:pStyle w:val="Heading2"/>
        <w:keepNext/>
        <w:spacing w:before="120" w:after="60"/>
      </w:pPr>
      <w:r>
        <w:t>EXPONE</w:t>
      </w:r>
    </w:p>
    <w:p>
      <w:pPr>
        <w:widowControl/>
        <w:spacing w:after="60"/>
        <w:jc w:val="left"/>
      </w:pPr>
      <w:r>
        <w:rPr>
          <w:rFonts w:ascii="Arial" w:hAnsi="Arial"/>
          <w:color w:val="263A43"/>
          <w:sz w:val="20"/>
        </w:rPr>
        <w:t xml:space="preserve">Primero. Las relaciones familiares se rigen por </w:t>
      </w:r>
      <w:r>
        <w:rPr>
          <w:rFonts w:ascii="Arial" w:hAnsi="Arial"/>
          <w:b/>
          <w:color w:val="397CDD"/>
          <w:sz w:val="20"/>
          <w:shd w:fill="E8F0FB"/>
        </w:rPr>
        <w:t>[RESOLUCIÓN, FECHA, PROCEDIMIENTO Y ÓRGANO]</w:t>
      </w:r>
      <w:r>
        <w:rPr>
          <w:rFonts w:ascii="Arial" w:hAnsi="Arial"/>
          <w:color w:val="263A43"/>
          <w:sz w:val="20"/>
        </w:rPr>
        <w:t xml:space="preserve">. Desde su adopción se han producido los siguientes cambios que considero relevantes: </w:t>
      </w:r>
      <w:r>
        <w:rPr>
          <w:rFonts w:ascii="Arial" w:hAnsi="Arial"/>
          <w:b/>
          <w:color w:val="397CDD"/>
          <w:sz w:val="20"/>
          <w:shd w:fill="E8F0FB"/>
        </w:rPr>
        <w:t>[HECHOS, FECHAS Y DOCUMENTOS]</w:t>
      </w:r>
      <w:r>
        <w:rPr>
          <w:rFonts w:ascii="Arial" w:hAnsi="Arial"/>
          <w:color w:val="263A43"/>
          <w:sz w:val="20"/>
        </w:rPr>
        <w:t>, cuya valoración puede ser objeto de discrepancia.</w:t>
      </w:r>
    </w:p>
    <w:p>
      <w:pPr>
        <w:widowControl/>
        <w:spacing w:after="60"/>
        <w:jc w:val="left"/>
      </w:pPr>
      <w:r>
        <w:rPr>
          <w:rFonts w:ascii="Arial" w:hAnsi="Arial"/>
          <w:color w:val="263A43"/>
          <w:sz w:val="20"/>
        </w:rPr>
        <w:t xml:space="preserve">Segundo. Mediante esta comunicación le invito a una actividad negociadora de buena fe para examinar únicamente la modificación de </w:t>
      </w:r>
      <w:r>
        <w:rPr>
          <w:rFonts w:ascii="Arial" w:hAnsi="Arial"/>
          <w:b/>
          <w:color w:val="397CDD"/>
          <w:sz w:val="20"/>
          <w:shd w:fill="E8F0FB"/>
        </w:rPr>
        <w:t>[MEDIDA, BENEFICIARIO, ALCANCE TEMPORAL Y CUESTIÓN CONTROVERTIDA]</w:t>
      </w:r>
      <w:r>
        <w:rPr>
          <w:rFonts w:ascii="Arial" w:hAnsi="Arial"/>
          <w:color w:val="263A43"/>
          <w:sz w:val="20"/>
        </w:rPr>
        <w:t>. Se identifica este objeto para que pueda conocer la controversia y preparar su posición; las propuestas concretas se intercambiarán dentro de la negociación con el tratamiento legal de confidencialidad que corresponda.</w:t>
      </w:r>
    </w:p>
    <w:p>
      <w:pPr>
        <w:widowControl/>
        <w:spacing w:after="60"/>
        <w:jc w:val="left"/>
      </w:pPr>
      <w:r>
        <w:rPr>
          <w:rFonts w:ascii="Arial" w:hAnsi="Arial"/>
          <w:color w:val="263A43"/>
          <w:sz w:val="20"/>
        </w:rPr>
        <w:t>Tercero. No se pretende disponer de derechos indisponibles, renunciar a alimentos futuros del menor ni sustituir el control del órgano judicial y del Ministerio Fiscal cuando sean necesarios. Las medidas vigentes seguirán cumpliéndose mientras no se modifiquen con eficacia jurídica por el cauce procedente.</w:t>
      </w:r>
    </w:p>
    <w:p>
      <w:pPr>
        <w:pStyle w:val="Heading2"/>
        <w:keepNext/>
        <w:spacing w:before="120" w:after="60"/>
      </w:pPr>
      <w:r>
        <w:t>PROPONE</w:t>
      </w:r>
    </w:p>
    <w:p>
      <w:pPr>
        <w:widowControl/>
        <w:spacing w:after="60"/>
        <w:jc w:val="left"/>
      </w:pPr>
      <w:r>
        <w:rPr>
          <w:rFonts w:ascii="Arial" w:hAnsi="Arial"/>
          <w:color w:val="263A43"/>
          <w:sz w:val="20"/>
        </w:rPr>
        <w:t xml:space="preserve">Primero. Iniciar una negociación </w:t>
      </w:r>
      <w:r>
        <w:rPr>
          <w:rFonts w:ascii="Arial" w:hAnsi="Arial"/>
          <w:b/>
          <w:color w:val="397CDD"/>
          <w:sz w:val="20"/>
          <w:shd w:fill="E8F0FB"/>
        </w:rPr>
        <w:t>[DIRECTA ENTRE LAS PARTES CON ASISTENCIA LETRADA / ENTRE LOS PROFESIONALES DESIGNADOS / CON PERSONA NEUTRAL QUE SE ACUERDE]</w:t>
      </w:r>
      <w:r>
        <w:rPr>
          <w:rFonts w:ascii="Arial" w:hAnsi="Arial"/>
          <w:color w:val="263A43"/>
          <w:sz w:val="20"/>
        </w:rPr>
        <w:t xml:space="preserve">, con una primera reunión por </w:t>
      </w:r>
      <w:r>
        <w:rPr>
          <w:rFonts w:ascii="Arial" w:hAnsi="Arial"/>
          <w:b/>
          <w:color w:val="397CDD"/>
          <w:sz w:val="20"/>
          <w:shd w:fill="E8F0FB"/>
        </w:rPr>
        <w:t>[MEDIO]</w:t>
      </w:r>
      <w:r>
        <w:rPr>
          <w:rFonts w:ascii="Arial" w:hAnsi="Arial"/>
          <w:color w:val="263A43"/>
          <w:sz w:val="20"/>
        </w:rPr>
        <w:t xml:space="preserve"> en </w:t>
      </w:r>
      <w:r>
        <w:rPr>
          <w:rFonts w:ascii="Arial" w:hAnsi="Arial"/>
          <w:b/>
          <w:color w:val="397CDD"/>
          <w:sz w:val="20"/>
          <w:shd w:fill="E8F0FB"/>
        </w:rPr>
        <w:t>[FECHA PROPUESTA]</w:t>
      </w:r>
      <w:r>
        <w:rPr>
          <w:rFonts w:ascii="Arial" w:hAnsi="Arial"/>
          <w:color w:val="263A43"/>
          <w:sz w:val="20"/>
        </w:rPr>
        <w:t>. Puede proponer una fecha, canal o profesional alternativo.</w:t>
      </w:r>
    </w:p>
    <w:p>
      <w:pPr>
        <w:widowControl/>
        <w:spacing w:after="60"/>
        <w:jc w:val="left"/>
      </w:pPr>
      <w:r>
        <w:rPr>
          <w:rFonts w:ascii="Arial" w:hAnsi="Arial"/>
          <w:color w:val="263A43"/>
          <w:sz w:val="20"/>
        </w:rPr>
        <w:t xml:space="preserve">Segundo. Facilitar por un canal seguro la documentación estrictamente necesaria sobre </w:t>
      </w:r>
      <w:r>
        <w:rPr>
          <w:rFonts w:ascii="Arial" w:hAnsi="Arial"/>
          <w:b/>
          <w:color w:val="397CDD"/>
          <w:sz w:val="20"/>
          <w:shd w:fill="E8F0FB"/>
        </w:rPr>
        <w:t>[INGRESOS, NECESIDADES, HORARIOS U OTROS EXTREMOS PERTINENTES]</w:t>
      </w:r>
      <w:r>
        <w:rPr>
          <w:rFonts w:ascii="Arial" w:hAnsi="Arial"/>
          <w:color w:val="263A43"/>
          <w:sz w:val="20"/>
        </w:rPr>
        <w:t>, con igual posibilidad de acceso y respetando los datos del menor y de terceros.</w:t>
      </w:r>
    </w:p>
    <w:p>
      <w:pPr>
        <w:widowControl/>
        <w:spacing w:after="60"/>
        <w:jc w:val="left"/>
      </w:pPr>
      <w:r>
        <w:rPr>
          <w:rFonts w:ascii="Arial" w:hAnsi="Arial"/>
          <w:color w:val="263A43"/>
          <w:sz w:val="20"/>
        </w:rPr>
        <w:t>Tercero. Examinar soluciones compatibles con el interés superior del menor, su derecho a ser oído cuando proceda y la disponibilidad legal de la materia. Ninguna propuesta se entenderá aceptada por silencio ni será ejecutable por el mero intercambio de mensajes.</w:t>
      </w:r>
    </w:p>
    <w:p>
      <w:pPr>
        <w:widowControl/>
        <w:spacing w:after="60"/>
        <w:jc w:val="left"/>
      </w:pPr>
      <w:r>
        <w:rPr>
          <w:rFonts w:ascii="Arial" w:hAnsi="Arial"/>
          <w:color w:val="263A43"/>
          <w:sz w:val="20"/>
        </w:rPr>
        <w:t>Cuarto. Si se alcanza acuerdo, documentar su contenido, delimitar las cuestiones resueltas y pendientes y someterlo a la aprobación o formalización que resulte exigible. Este escrito no constituye una oferta vinculante confidencial del artículo 17 de la Ley Orgánica 1/2025.</w:t>
      </w:r>
    </w:p>
    <w:p>
      <w:pPr>
        <w:pStyle w:val="Heading2"/>
        <w:keepNext/>
        <w:spacing w:before="120" w:after="60"/>
      </w:pPr>
      <w:r>
        <w:t>SOLICITA</w:t>
      </w:r>
    </w:p>
    <w:p>
      <w:pPr>
        <w:keepNext/>
        <w:widowControl/>
        <w:spacing w:after="60"/>
        <w:jc w:val="left"/>
      </w:pPr>
      <w:r>
        <w:rPr>
          <w:rFonts w:ascii="Arial" w:hAnsi="Arial"/>
          <w:color w:val="263A43"/>
          <w:sz w:val="20"/>
        </w:rPr>
        <w:t xml:space="preserve">Que comunique su disposición a negociar y el canal de contacto a </w:t>
      </w:r>
      <w:r>
        <w:rPr>
          <w:rFonts w:ascii="Arial" w:hAnsi="Arial"/>
          <w:b/>
          <w:color w:val="397CDD"/>
          <w:sz w:val="20"/>
          <w:shd w:fill="E8F0FB"/>
        </w:rPr>
        <w:t>[DATOS]</w:t>
      </w:r>
      <w:r>
        <w:rPr>
          <w:rFonts w:ascii="Arial" w:hAnsi="Arial"/>
          <w:color w:val="263A43"/>
          <w:sz w:val="20"/>
        </w:rPr>
        <w:t xml:space="preserve">. Se propone responder antes de </w:t>
      </w:r>
      <w:r>
        <w:rPr>
          <w:rFonts w:ascii="Arial" w:hAnsi="Arial"/>
          <w:b/>
          <w:color w:val="397CDD"/>
          <w:sz w:val="20"/>
          <w:shd w:fill="E8F0FB"/>
        </w:rPr>
        <w:t>[FECHA]</w:t>
      </w:r>
      <w:r>
        <w:rPr>
          <w:rFonts w:ascii="Arial" w:hAnsi="Arial"/>
          <w:color w:val="263A43"/>
          <w:sz w:val="20"/>
        </w:rPr>
        <w:t>, sin reducir por ello los plazos y condiciones legalmente previstos para la terminación del intento negociador.</w:t>
      </w:r>
    </w:p>
    <w:p>
      <w:pPr>
        <w:keepNext/>
        <w:widowControl/>
        <w:spacing w:after="60"/>
        <w:jc w:val="left"/>
      </w:pPr>
      <w:r>
        <w:rPr>
          <w:rFonts w:ascii="Arial" w:hAnsi="Arial"/>
          <w:color w:val="263A43"/>
          <w:sz w:val="20"/>
        </w:rPr>
        <w:t>La existencia del intento, su objeto, las identidades y las fechas se acreditarán en los términos legalmente permitidos. El contenido de las propuestas, concesiones y documentación negociadora se tratará conforme al deber de confidencialidad y sus excepciones legales, sin una renuncia genérica a dicha protección.</w:t>
      </w:r>
    </w:p>
    <w:p>
      <w:pPr>
        <w:keepNext/>
        <w:widowControl/>
        <w:spacing w:after="60"/>
        <w:jc w:val="left"/>
      </w:pPr>
      <w:r>
        <w:rPr>
          <w:rFonts w:ascii="Arial" w:hAnsi="Arial"/>
          <w:color w:val="263A43"/>
          <w:sz w:val="20"/>
        </w:rPr>
        <w:t>La eficacia de esta invitación respecto de la prescripción, caducidad y procedibilidad dependerá de los requisitos legales, de la materia y de la acreditación de la comunicación. No impide solicitar medidas urgentes cuando legalmente proceda.</w:t>
      </w:r>
    </w:p>
    <w:p>
      <w:pPr>
        <w:keepNext/>
        <w:widowControl/>
        <w:spacing w:after="60"/>
        <w:jc w:val="left"/>
      </w:pPr>
      <w:r>
        <w:rPr>
          <w:rFonts w:ascii="Arial" w:hAnsi="Arial"/>
          <w:color w:val="263A43"/>
          <w:sz w:val="20"/>
        </w:rPr>
        <w:t xml:space="preserve">En </w:t>
      </w:r>
      <w:r>
        <w:rPr>
          <w:rFonts w:ascii="Arial" w:hAnsi="Arial"/>
          <w:b/>
          <w:color w:val="397CDD"/>
          <w:sz w:val="20"/>
          <w:shd w:fill="E8F0FB"/>
        </w:rPr>
        <w:t>[LOCALIDAD]</w:t>
      </w:r>
      <w:r>
        <w:rPr>
          <w:rFonts w:ascii="Arial" w:hAnsi="Arial"/>
          <w:color w:val="263A43"/>
          <w:sz w:val="20"/>
        </w:rPr>
        <w:t xml:space="preserve">, a </w:t>
      </w:r>
      <w:r>
        <w:rPr>
          <w:rFonts w:ascii="Arial" w:hAnsi="Arial"/>
          <w:b/>
          <w:color w:val="397CDD"/>
          <w:sz w:val="20"/>
          <w:shd w:fill="E8F0FB"/>
        </w:rPr>
        <w:t>[FECHA]</w:t>
      </w:r>
      <w:r>
        <w:rPr>
          <w:rFonts w:ascii="Arial" w:hAnsi="Arial"/>
          <w:color w:val="263A43"/>
          <w:sz w:val="20"/>
        </w:rPr>
        <w:t xml:space="preserve">. Firma: </w:t>
      </w:r>
      <w:r>
        <w:rPr>
          <w:rFonts w:ascii="Arial" w:hAnsi="Arial"/>
          <w:b/>
          <w:color w:val="397CDD"/>
          <w:sz w:val="20"/>
          <w:shd w:fill="E8F0FB"/>
        </w:rPr>
        <w:t>[NOMBRE Y CONDICIÓN]</w:t>
      </w:r>
      <w:r>
        <w:rPr>
          <w:rFonts w:ascii="Arial" w:hAnsi="Arial"/>
          <w:color w:val="263A43"/>
          <w:sz w:val="20"/>
        </w:rPr>
        <w:t>.</w:t>
      </w:r>
    </w:p>
    <w:p>
      <w:pPr>
        <w:keepNext/>
        <w:widowControl/>
        <w:spacing w:after="60"/>
        <w:jc w:val="left"/>
      </w:pPr>
      <w:r>
        <w:rPr>
          <w:rFonts w:ascii="Arial" w:hAnsi="Arial"/>
          <w:color w:val="263A43"/>
          <w:sz w:val="20"/>
        </w:rPr>
        <w:t xml:space="preserve">Datos profesionales y canal de respuesta: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.</w:t>
      </w:r>
    </w:p>
    <w:p>
      <w:pPr>
        <w:keepNext/>
        <w:widowControl/>
        <w:spacing w:after="60"/>
      </w:pPr>
      <w:r>
        <w:br w:type="page"/>
      </w:r>
    </w:p>
    <w:p>
      <w:pPr>
        <w:pStyle w:val="Heading1"/>
        <w:pageBreakBefore/>
        <w:jc w:val="center"/>
      </w:pPr>
      <w:r>
        <w:rPr>
          <w:sz w:val="34"/>
          <w:color w:val="000000"/>
        </w:rPr>
        <w:t>Guía de uso del modelo</w:t>
      </w:r>
    </w:p>
    <w:p>
      <w:pPr>
        <w:widowControl/>
        <w:spacing w:after="60"/>
        <w:jc w:val="left"/>
      </w:pPr>
      <w:r>
        <w:rPr>
          <w:rFonts w:ascii="Arial" w:hAnsi="Arial"/>
          <w:sz w:val="20"/>
          <w:color w:val="000000"/>
        </w:rPr>
        <w:t>Esta guía y los ejemplos son material de apoyo. Elimínalos de la copia que vayas a firmar, enviar o presentar.</w:t>
      </w:r>
    </w:p>
    <w:p>
      <w:pPr>
        <w:pStyle w:val="Heading2"/>
        <w:keepNext/>
        <w:spacing w:before="120" w:after="60"/>
      </w:pPr>
      <w:r>
        <w:t>Finalidad</w:t>
      </w:r>
    </w:p>
    <w:p>
      <w:pPr>
        <w:widowControl/>
        <w:spacing w:after="60"/>
        <w:jc w:val="left"/>
      </w:pPr>
      <w:r>
        <w:rPr>
          <w:rFonts w:ascii="Arial" w:hAnsi="Arial"/>
          <w:color w:val="263A43"/>
          <w:sz w:val="20"/>
        </w:rPr>
        <w:t>Invitar a una negociación real sobre una modificación familiar legalmente negociable, delimitando objeto, prueba del intento y reserva de aprobación judicial.</w:t>
      </w:r>
    </w:p>
    <w:p>
      <w:pPr>
        <w:pStyle w:val="Heading2"/>
        <w:keepNext/>
        <w:spacing w:before="120" w:after="60"/>
      </w:pPr>
      <w:r>
        <w:t>Cuándo utilizarlo</w:t>
      </w:r>
    </w:p>
    <w:p>
      <w:pPr>
        <w:widowControl/>
        <w:spacing w:after="60"/>
        <w:jc w:val="left"/>
      </w:pPr>
      <w:r>
        <w:rPr>
          <w:rFonts w:ascii="Arial" w:hAnsi="Arial"/>
          <w:color w:val="263A43"/>
          <w:sz w:val="20"/>
        </w:rPr>
        <w:t>La controversia admite negociación y se pretende explorar una modificación con aprobación judicial cuando sea necesaria.</w:t>
      </w:r>
    </w:p>
    <w:p>
      <w:pPr>
        <w:pStyle w:val="Heading2"/>
        <w:keepNext/>
        <w:spacing w:before="120" w:after="60"/>
      </w:pPr>
      <w:r>
        <w:t>Cuándo no utilizarlo</w:t>
      </w:r>
    </w:p>
    <w:p>
      <w:pPr>
        <w:widowControl/>
        <w:spacing w:after="60"/>
        <w:jc w:val="left"/>
      </w:pPr>
      <w:r>
        <w:rPr>
          <w:rFonts w:ascii="Arial" w:hAnsi="Arial"/>
          <w:color w:val="263A43"/>
          <w:sz w:val="20"/>
        </w:rPr>
        <w:t>Violencia, prohibición de contacto o mediación, riesgo para menores, medidas urgentes o pretensión de renunciar a derechos indisponibles.</w:t>
      </w:r>
    </w:p>
    <w:p>
      <w:pPr>
        <w:pStyle w:val="Heading2"/>
        <w:keepNext/>
        <w:spacing w:before="120" w:after="60"/>
      </w:pPr>
      <w:r>
        <w:t>Plazos</w:t>
      </w:r>
    </w:p>
    <w:p>
      <w:pPr>
        <w:widowControl/>
        <w:spacing w:after="60"/>
        <w:jc w:val="left"/>
      </w:pPr>
      <w:r>
        <w:rPr>
          <w:rFonts w:ascii="Arial" w:hAnsi="Arial"/>
          <w:sz w:val="20"/>
          <w:color w:val="000000"/>
        </w:rPr>
        <w:t>Distingue la acreditación del intento y su terminación del artículo 10, los efectos sobre prescripción y caducidad del artículo 7 y el plazo de un año del requisito de procedibilidad. La fecha propuesta para contestar no modifica esos regímenes.</w:t>
      </w:r>
    </w:p>
    <w:p>
      <w:pPr>
        <w:pStyle w:val="Heading2"/>
        <w:keepNext/>
        <w:spacing w:before="120" w:after="60"/>
      </w:pPr>
      <w:r>
        <w:t>Dónde y cómo presentarlo</w:t>
      </w:r>
    </w:p>
    <w:p>
      <w:pPr>
        <w:widowControl/>
        <w:spacing w:after="60"/>
        <w:jc w:val="left"/>
      </w:pPr>
      <w:r>
        <w:rPr>
          <w:rFonts w:ascii="Arial" w:hAnsi="Arial"/>
          <w:color w:val="263A43"/>
          <w:sz w:val="20"/>
        </w:rPr>
        <w:t>Medio fehaciente que permita acreditar contenido íntegro accesible y recepción; preferentemente entre profesionales en asuntos sensibles.</w:t>
      </w:r>
    </w:p>
    <w:p>
      <w:pPr>
        <w:pStyle w:val="Heading2"/>
        <w:keepNext/>
        <w:spacing w:before="120" w:after="60"/>
      </w:pPr>
      <w:r>
        <w:t>Intervención y revisión profesional</w:t>
      </w:r>
    </w:p>
    <w:p>
      <w:pPr>
        <w:widowControl/>
        <w:spacing w:after="60"/>
        <w:jc w:val="left"/>
      </w:pPr>
      <w:r>
        <w:t>Revisión profesional especialmente aconsejable antes de enviar. El acuerdo sobre menores y la modificación judicial exigen los controles y profesionales aplicables.</w:t>
      </w:r>
    </w:p>
    <w:p>
      <w:pPr>
        <w:pStyle w:val="Heading2"/>
        <w:keepNext/>
        <w:spacing w:before="120" w:after="60"/>
      </w:pPr>
      <w:r>
        <w:t>Documentación</w:t>
      </w:r>
    </w:p>
    <w:p>
      <w:pPr>
        <w:widowControl/>
        <w:spacing w:after="60"/>
        <w:jc w:val="left"/>
      </w:pPr>
      <w:r>
        <w:rPr>
          <w:rFonts w:ascii="Arial" w:hAnsi="Arial"/>
          <w:color w:val="263A43"/>
          <w:sz w:val="20"/>
        </w:rPr>
        <w:t>Resolución vigente; cambios relevantes acreditados; delimitación de puntos negociables; justificante de invitación, recepción y eventual terminación.</w:t>
      </w:r>
    </w:p>
    <w:p>
      <w:pPr>
        <w:pStyle w:val="Heading2"/>
        <w:keepNext/>
        <w:spacing w:before="120" w:after="60"/>
      </w:pPr>
      <w:r>
        <w:t>Uso y límites</w:t>
      </w:r>
    </w:p>
    <w:p>
      <w:pPr>
        <w:widowControl/>
        <w:spacing w:after="60"/>
        <w:jc w:val="left"/>
      </w:pPr>
      <w:r>
        <w:rPr>
          <w:rFonts w:ascii="Arial" w:hAnsi="Arial"/>
          <w:color w:val="263A43"/>
          <w:sz w:val="20"/>
        </w:rPr>
        <w:t>No es una oferta vinculante confidencial ni un formulario que garantice procedibilidad. Se excluyen materias indisponibles y supuestos prohibidos; se separa acreditación de propuestas confidenciales.</w:t>
      </w:r>
    </w:p>
    <w:p>
      <w:pPr>
        <w:pStyle w:val="Heading2"/>
        <w:keepNext/>
        <w:spacing w:before="120" w:after="60"/>
      </w:pPr>
      <w:r>
        <w:t>Cumplimentación</w:t>
      </w:r>
    </w:p>
    <w:p>
      <w:pPr>
        <w:widowControl/>
        <w:spacing w:after="60"/>
        <w:jc w:val="left"/>
      </w:pPr>
      <w:r>
        <w:rPr>
          <w:rFonts w:ascii="Arial" w:hAnsi="Arial"/>
          <w:color w:val="263A43"/>
          <w:sz w:val="20"/>
        </w:rPr>
        <w:t>Sustituya todos los campos entre corchetes por datos comprobados. Repita filas o registros de los anexos cuando sea necesario. Conserve una sola alternativa cuando se indique. Elimine controles internos, instrucciones y guía antes de enviar; revise cifras, plazos, representación, destinatario y firmas. No antedate ni afirme pagos, acuerdos o notificaciones inexistentes.</w:t>
      </w:r>
    </w:p>
    <w:p>
      <w:pPr>
        <w:widowControl/>
        <w:spacing w:after="60"/>
        <w:jc w:val="left"/>
      </w:pPr>
      <w:r>
        <w:rPr>
          <w:rFonts w:ascii="Arial" w:hAnsi="Arial"/>
          <w:sz w:val="20"/>
          <w:color w:val="000000"/>
        </w:rPr>
        <w:t>Anota y conserva la recepción de la invitación y la posibilidad de acceso a su contenido íntegro. Los efectos de un intento de comunicación del artículo 7 no deben confundirse con la acreditación que exige el artículo 10.</w:t>
      </w:r>
    </w:p>
    <w:p>
      <w:pPr>
        <w:widowControl/>
        <w:spacing w:after="60"/>
        <w:jc w:val="left"/>
      </w:pPr>
      <w:r>
        <w:rPr>
          <w:rFonts w:ascii="Arial" w:hAnsi="Arial"/>
          <w:sz w:val="20"/>
          <w:color w:val="000000"/>
        </w:rPr>
        <w:t>La terminación sin acuerdo del artículo 10.4 contempla distintos supuestos: treinta días naturales desde la recepción inicial si no se mantiene la primera reunión o contacto dirigido a alcanzar un acuerdo o no se obtiene respuesta por escrito; treinta días desde la recepción de una propuesta concreta una vez iniciada la actividad, sin acuerdo ni respuesta escrita; tres meses desde la primera reunión sin acuerdo, salvo continuación de mutuo acuerdo; o comunicación escrita de terminación con constancia del intento de comunicarla. Identifica el supuesto real antes de fijar una fecha.</w:t>
      </w:r>
    </w:p>
    <w:p>
      <w:pPr>
        <w:widowControl/>
        <w:spacing w:after="60"/>
        <w:jc w:val="left"/>
      </w:pPr>
      <w:r>
        <w:rPr>
          <w:rFonts w:ascii="Arial" w:hAnsi="Arial"/>
          <w:sz w:val="20"/>
          <w:color w:val="000000"/>
        </w:rPr>
        <w:t>Para la procedibilidad, el año se cuenta desde la recepción de la solicitud inicial cuando no hubo respuesta o desde la terminación de la negociación sin acuerdo, según el supuesto del artículo 7.3. Ese año no sustituye ni amplía automáticamente un plazo de prescripción, caducidad o presentación judicial más breve. Revisa aparte las medidas cautelares.</w:t>
      </w:r>
    </w:p>
    <w:p>
      <w:pPr>
        <w:widowControl/>
        <w:spacing w:after="60"/>
        <w:jc w:val="left"/>
        <w:keepNext/>
      </w:pPr>
      <w:r>
        <w:rPr>
          <w:rFonts w:ascii="Arial" w:hAnsi="Arial"/>
          <w:color w:val="000000"/>
          <w:sz w:val="22"/>
          <w:b/>
        </w:rPr>
        <w:t>Ejemplos ficticios</w:t>
      </w:r>
    </w:p>
    <w:p>
      <w:pPr>
        <w:widowControl/>
        <w:spacing w:after="60"/>
        <w:jc w:val="left"/>
      </w:pPr>
      <w:r>
        <w:rPr>
          <w:rFonts w:ascii="Arial" w:hAnsi="Arial"/>
          <w:sz w:val="20"/>
          <w:color w:val="000000"/>
        </w:rPr>
        <w:t>Ejemplo ficticio uno. Un cambio de horario laboral documentado lleva a proponer revisar un punto negociable de las entregas. La invitación identifica resolución, cambio, objeto y canal, y se conserva prueba de recepción y contenido. La procedibilidad y los plazos se valoran con los hechos reales de respuesta y negociación; la invitación no cambia las medidas vigentes.</w:t>
      </w:r>
    </w:p>
    <w:p>
      <w:pPr>
        <w:widowControl/>
        <w:spacing w:after="60"/>
        <w:jc w:val="left"/>
      </w:pPr>
      <w:r>
        <w:rPr>
          <w:rFonts w:ascii="Arial" w:hAnsi="Arial"/>
          <w:sz w:val="20"/>
          <w:color w:val="000000"/>
        </w:rPr>
        <w:t>Ejemplo ficticio dos. Se dispone solo de un justificante de envío y no de prueba de recepción o acceso al contenido íntegro. No se marca automáticamente el intento como acreditado y terminado a los treinta días: deben revisarse por separado comunicación, recepción, artículo 10 y los efectos del artículo 7.</w:t>
      </w:r>
    </w:p>
    <w:p>
      <w:pPr>
        <w:pStyle w:val="Heading2"/>
        <w:keepNext/>
        <w:spacing w:before="120" w:after="60"/>
      </w:pPr>
      <w:r>
        <w:t>Fuentes oficiales</w:t>
      </w:r>
    </w:p>
    <w:p>
      <w:pPr>
        <w:widowControl/>
        <w:spacing w:after="60"/>
        <w:jc w:val="left"/>
      </w:pPr>
      <w:hyperlink r:id="rId14" w:history="1">
        <w:r>
          <w:rPr>
            <w:rFonts w:ascii="Arial" w:hAnsi="Arial"/>
            <w:sz w:val="20"/>
            <w:color w:val="0563C1"/>
            <w:u w:val="single"/>
          </w:rPr>
          <w:t>Ley Orgánica 1/2025 medios adecuados de solución de controversias artículos 2, 4, 5, 6, 7, 9, 10, 12, 13, 17</w:t>
        </w:r>
      </w:hyperlink>
    </w:p>
    <w:p>
      <w:pPr>
        <w:widowControl/>
        <w:spacing w:after="60"/>
        <w:jc w:val="left"/>
      </w:pPr>
      <w:hyperlink r:id="rId15" w:history="1">
        <w:r>
          <w:rPr>
            <w:rFonts w:ascii="Arial" w:hAnsi="Arial"/>
            <w:sz w:val="20"/>
            <w:color w:val="0563C1"/>
            <w:u w:val="single"/>
          </w:rPr>
          <w:t>Ley Orgánica del Poder Judicial artículo 89.9</w:t>
        </w:r>
      </w:hyperlink>
    </w:p>
    <w:p>
      <w:pPr>
        <w:widowControl/>
        <w:spacing w:after="60"/>
        <w:jc w:val="left"/>
      </w:pPr>
      <w:hyperlink r:id="rId16" w:history="1">
        <w:r>
          <w:rPr>
            <w:rFonts w:ascii="Arial" w:hAnsi="Arial"/>
            <w:sz w:val="20"/>
            <w:color w:val="0563C1"/>
            <w:u w:val="single"/>
          </w:rPr>
          <w:t>Código Civil artículos 90, 91, 100, 151, 156</w:t>
        </w:r>
      </w:hyperlink>
    </w:p>
    <w:p>
      <w:pPr>
        <w:widowControl/>
        <w:spacing w:after="60"/>
        <w:jc w:val="left"/>
      </w:pPr>
      <w:hyperlink r:id="rId17" w:history="1">
        <w:r>
          <w:rPr>
            <w:rFonts w:ascii="Arial" w:hAnsi="Arial"/>
            <w:sz w:val="20"/>
            <w:color w:val="0563C1"/>
            <w:u w:val="single"/>
          </w:rPr>
          <w:t>Ley de Enjuiciamiento Civil artículos 749, 751, 775, 777</w:t>
        </w:r>
      </w:hyperlink>
    </w:p>
    <w:p>
      <w:pPr>
        <w:widowControl/>
        <w:spacing w:after="60"/>
        <w:jc w:val="left"/>
      </w:pPr>
      <w:r>
        <w:rPr>
          <w:rFonts w:ascii="Arial" w:hAnsi="Arial"/>
        </w:rPr>
        <w:t>Revisión documental: 16 de octubre de 2026. Comprueba la norma vigente, el cauce y las particularidades del caso, incluidos los regímenes territoriales o especiales. No garantiza un resultado ni sustituye formularios obligatorios o la intervención profesional exigible.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  <w:jc w:val="left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Georgia" w:hAnsi="Georgia"/>
      <w:b/>
      <w:bCs/>
      <w:color w:val="102E3C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102E3C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80"/>
      <w:contextualSpacing/>
    </w:pPr>
    <w:rPr>
      <w:rFonts w:asciiTheme="majorHAnsi" w:eastAsiaTheme="majorEastAsia" w:hAnsiTheme="majorHAnsi" w:cstheme="majorBidi" w:ascii="Georgia" w:hAnsi="Georgia"/>
      <w:b/>
      <w:color w:val="102E3C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4" Type="http://schemas.openxmlformats.org/officeDocument/2006/relationships/hyperlink" Target="https://www.boe.es/buscar/act.php?id=BOE-A-2025-76#a2" TargetMode="External"/><Relationship Id="rId15" Type="http://schemas.openxmlformats.org/officeDocument/2006/relationships/hyperlink" Target="https://www.boe.es/buscar/act.php?id=BOE-A-1985-12666#aochentaynueve" TargetMode="External"/><Relationship Id="rId16" Type="http://schemas.openxmlformats.org/officeDocument/2006/relationships/hyperlink" Target="https://www.boe.es/buscar/act.php?id=BOE-A-1889-4763#art151" TargetMode="External"/><Relationship Id="rId17" Type="http://schemas.openxmlformats.org/officeDocument/2006/relationships/hyperlink" Target="https://www.boe.es/buscar/act.php?id=BOE-A-2000-323#a74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Modelo jurídico editable de Pérez &amp; Burgos Abogados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