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FAMILIA Y ACUERDOS PRIVADOS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Inventario y reparto privado de bienes muebles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Anexo de inventario, estado, valor y entrega de mobiliario y efectos personales tras una ruptura.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Partes firmantes.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Ámbito</w:t>
      </w:r>
    </w:p>
    <w:p>
      <w:pPr>
        <w:jc w:val="both"/>
      </w:pPr>
      <w:r>
        <w:rPr>
          <w:rFonts w:ascii="Arial" w:hAnsi="Arial"/>
        </w:rPr>
        <w:t>El inventario comprende únicamente bienes muebles y efectos descritos. No adjudica inmuebles ni altera derechos de terceros.</w:t>
      </w:r>
    </w:p>
    <w:p>
      <w:pPr>
        <w:pStyle w:val="Heading2"/>
      </w:pPr>
      <w:r>
        <w:t>Bienes de la parte A</w:t>
      </w:r>
    </w:p>
    <w:p>
      <w:pPr>
        <w:jc w:val="both"/>
      </w:pPr>
      <w:r>
        <w:rPr>
          <w:rFonts w:ascii="Arial" w:hAnsi="Arial"/>
        </w:rPr>
        <w:t xml:space="preserve">Se adjudican a </w:t>
      </w:r>
      <w:r>
        <w:rPr>
          <w:rFonts w:ascii="Arial" w:hAnsi="Arial"/>
          <w:b/>
          <w:color w:val="397CDD"/>
          <w:shd w:fill="E5EFFC"/>
        </w:rPr>
        <w:t>{{PARTE_A}}</w:t>
      </w:r>
      <w:r>
        <w:rPr>
          <w:rFonts w:ascii="Arial" w:hAnsi="Arial"/>
        </w:rPr>
        <w:t xml:space="preserve">: </w:t>
      </w:r>
      <w:r>
        <w:rPr>
          <w:rFonts w:ascii="Arial" w:hAnsi="Arial"/>
          <w:b/>
          <w:color w:val="397CDD"/>
          <w:shd w:fill="E5EFFC"/>
        </w:rPr>
        <w:t>{{LISTA_BIENES_A}}</w:t>
      </w:r>
      <w:r>
        <w:rPr>
          <w:rFonts w:ascii="Arial" w:hAnsi="Arial"/>
        </w:rPr>
        <w:t>.</w:t>
      </w:r>
    </w:p>
    <w:p>
      <w:pPr>
        <w:pStyle w:val="Heading2"/>
      </w:pPr>
      <w:r>
        <w:t>Bienes de la parte B</w:t>
      </w:r>
    </w:p>
    <w:p>
      <w:pPr>
        <w:jc w:val="both"/>
      </w:pPr>
      <w:r>
        <w:rPr>
          <w:rFonts w:ascii="Arial" w:hAnsi="Arial"/>
        </w:rPr>
        <w:t xml:space="preserve">Se adjudican a </w:t>
      </w:r>
      <w:r>
        <w:rPr>
          <w:rFonts w:ascii="Arial" w:hAnsi="Arial"/>
          <w:b/>
          <w:color w:val="397CDD"/>
          <w:shd w:fill="E5EFFC"/>
        </w:rPr>
        <w:t>{{PARTE_B}}</w:t>
      </w:r>
      <w:r>
        <w:rPr>
          <w:rFonts w:ascii="Arial" w:hAnsi="Arial"/>
        </w:rPr>
        <w:t xml:space="preserve">: </w:t>
      </w:r>
      <w:r>
        <w:rPr>
          <w:rFonts w:ascii="Arial" w:hAnsi="Arial"/>
          <w:b/>
          <w:color w:val="397CDD"/>
          <w:shd w:fill="E5EFFC"/>
        </w:rPr>
        <w:t>{{LISTA_BIENES_B}}</w:t>
      </w:r>
      <w:r>
        <w:rPr>
          <w:rFonts w:ascii="Arial" w:hAnsi="Arial"/>
        </w:rPr>
        <w:t>.</w:t>
      </w:r>
    </w:p>
    <w:p>
      <w:pPr>
        <w:pStyle w:val="Heading2"/>
      </w:pPr>
      <w:r>
        <w:t>Bienes comunes o pendientes</w:t>
      </w:r>
    </w:p>
    <w:p>
      <w:pPr>
        <w:jc w:val="both"/>
      </w:pPr>
      <w:r>
        <w:rPr>
          <w:rFonts w:ascii="Arial" w:hAnsi="Arial"/>
        </w:rPr>
        <w:t xml:space="preserve">Se venderán, repartirán o conservarán conforme a </w:t>
      </w:r>
      <w:r>
        <w:rPr>
          <w:rFonts w:ascii="Arial" w:hAnsi="Arial"/>
          <w:b/>
          <w:color w:val="397CDD"/>
          <w:shd w:fill="E5EFFC"/>
        </w:rPr>
        <w:t>{{BIENES_PENDIENTES}}</w:t>
      </w:r>
      <w:r>
        <w:rPr>
          <w:rFonts w:ascii="Arial" w:hAnsi="Arial"/>
        </w:rPr>
        <w:t>.</w:t>
      </w:r>
    </w:p>
    <w:p>
      <w:pPr>
        <w:pStyle w:val="Heading2"/>
      </w:pPr>
      <w:r>
        <w:t>Entrega</w:t>
      </w:r>
    </w:p>
    <w:p>
      <w:pPr>
        <w:jc w:val="both"/>
      </w:pPr>
      <w:r>
        <w:rPr>
          <w:rFonts w:ascii="Arial" w:hAnsi="Arial"/>
        </w:rPr>
        <w:t xml:space="preserve">La entrega se realizará el </w:t>
      </w:r>
      <w:r>
        <w:rPr>
          <w:rFonts w:ascii="Arial" w:hAnsi="Arial"/>
          <w:b/>
          <w:color w:val="397CDD"/>
          <w:shd w:fill="E5EFFC"/>
        </w:rPr>
        <w:t>{{FECHA_ENTREGA}}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  <w:color w:val="397CDD"/>
          <w:shd w:fill="E5EFFC"/>
        </w:rPr>
        <w:t>{{LUGAR_ENTREGA}}</w:t>
      </w:r>
      <w:r>
        <w:rPr>
          <w:rFonts w:ascii="Arial" w:hAnsi="Arial"/>
        </w:rPr>
        <w:t>, documentando estado y recepción.</w:t>
      </w:r>
    </w:p>
    <w:p>
      <w:pPr>
        <w:pStyle w:val="Heading2"/>
      </w:pPr>
      <w:r>
        <w:t>Valoración y compensación</w:t>
      </w:r>
    </w:p>
    <w:p>
      <w:pPr>
        <w:jc w:val="both"/>
      </w:pPr>
      <w:r>
        <w:rPr>
          <w:rFonts w:ascii="Arial" w:hAnsi="Arial"/>
        </w:rPr>
        <w:t xml:space="preserve">La valoración aceptada es </w:t>
      </w:r>
      <w:r>
        <w:rPr>
          <w:rFonts w:ascii="Arial" w:hAnsi="Arial"/>
          <w:b/>
          <w:color w:val="397CDD"/>
          <w:shd w:fill="E5EFFC"/>
        </w:rPr>
        <w:t>{{VALORACION}}</w:t>
      </w:r>
      <w:r>
        <w:rPr>
          <w:rFonts w:ascii="Arial" w:hAnsi="Arial"/>
        </w:rPr>
        <w:t xml:space="preserve"> y la compensación, si existe, será </w:t>
      </w:r>
      <w:r>
        <w:rPr>
          <w:rFonts w:ascii="Arial" w:hAnsi="Arial"/>
          <w:b/>
          <w:color w:val="397CDD"/>
          <w:shd w:fill="E5EFFC"/>
        </w:rPr>
        <w:t>{{COMPENSACION}}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Fotografías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Facturas o prueba de propiedad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Estado de conservación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Número de serie de bienes relevantes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Firmas y copia para cada parte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incluyas inmuebles, vehículos registrables o bienes de terceros sin asesoramiento.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propiedad discutida no debe darse por resuelta solo mediante el inventario.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las consecuencias fiscales de las compensaciones.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</w:t>
      </w:r>
      <w:r>
        <w:t xml:space="preserve"> — https://www.boe.es/buscar/act.php?id=BOE-A-1889-4763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