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FAMILIA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Inventario y propuesta de liquidación de bienes comunes</w:t>
      </w:r>
    </w:p>
    <w:p>
      <w:pPr>
        <w:jc w:val="center"/>
      </w:pPr>
      <w:r>
        <w:rPr>
          <w:rFonts w:ascii="Arial" w:hAnsi="Arial"/>
          <w:color w:val="68777D"/>
          <w:sz w:val="20"/>
        </w:rPr>
        <w:t>Ordenar activo, pasivo, titularidades y propuesta no vinculante de reparto antes de una liquidación jurídicamente eficaz.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FICHA DE PREPARACIÓN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Firma de adjudicaciones definitivas, disposición de bienes de menores, insolvencia, ocultación patrimonial o cesión de deudas sin acreedor.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FICHA DE PREPARACIÓN</w:t>
      </w:r>
    </w:p>
    <w:p>
      <w:pPr>
        <w:pStyle w:val="Heading2"/>
      </w:pPr>
      <w:r>
        <w:t>INVENTARIO Y PROPUESTA NO VINCULANTE DE LIQUIDACIÓN DE BIENES COMUNES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Interesado A: </w:t>
      </w:r>
      <w:r>
        <w:rPr>
          <w:rFonts w:ascii="Arial" w:hAnsi="Arial"/>
          <w:b/>
          <w:color w:val="397CDD"/>
          <w:sz w:val="20"/>
          <w:shd w:fill="E8F0FB"/>
        </w:rPr>
        <w:t>[NOMBRE, DNI/NIE]</w:t>
      </w:r>
      <w:r>
        <w:rPr>
          <w:rFonts w:ascii="Arial" w:hAnsi="Arial"/>
          <w:color w:val="263A43"/>
          <w:sz w:val="20"/>
        </w:rPr>
        <w:t xml:space="preserve">. Interesado B: </w:t>
      </w:r>
      <w:r>
        <w:rPr>
          <w:rFonts w:ascii="Arial" w:hAnsi="Arial"/>
          <w:b/>
          <w:color w:val="397CDD"/>
          <w:sz w:val="20"/>
          <w:shd w:fill="E8F0FB"/>
        </w:rPr>
        <w:t>[NOMBRE, DNI/NIE]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Naturaleza de la comunidad: </w:t>
      </w:r>
      <w:r>
        <w:rPr>
          <w:rFonts w:ascii="Arial" w:hAnsi="Arial"/>
          <w:b/>
          <w:color w:val="397CDD"/>
          <w:sz w:val="20"/>
          <w:shd w:fill="E8F0FB"/>
        </w:rPr>
        <w:t>[SOCIEDAD DE GANANCIALES / OTRO RÉGIMEN MATRIMONIAL / COMUNIDAD ORDINARIA]</w:t>
      </w:r>
      <w:r>
        <w:rPr>
          <w:rFonts w:ascii="Arial" w:hAnsi="Arial"/>
          <w:color w:val="263A43"/>
          <w:sz w:val="20"/>
        </w:rPr>
        <w:t xml:space="preserve">. Ley y título aplicables: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Fecha y causa de disolución, si existe: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Fecha de corte del inventario: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DECLARACIONES PREVIAS</w:t>
      </w:r>
    </w:p>
    <w:p>
      <w:pPr>
        <w:jc w:val="both"/>
      </w:pPr>
      <w:r>
        <w:rPr>
          <w:rFonts w:ascii="Arial" w:hAnsi="Arial"/>
          <w:color w:val="263A43"/>
          <w:sz w:val="20"/>
        </w:rPr>
        <w:t>Este documento ordena información y plantea una posible liquidación. No transmite bienes, no adjudica derechos, no reconoce definitivamente deudas discutidas y no supone renuncia ni aceptación tácita de una titularidad. La liquidación quedará sujeta a comprobación documental y acuerdo final formalizado conforme a Derecho.</w:t>
      </w:r>
    </w:p>
    <w:p>
      <w:pPr>
        <w:jc w:val="both"/>
      </w:pPr>
      <w:r>
        <w:rPr>
          <w:rFonts w:ascii="Arial" w:hAnsi="Arial"/>
          <w:color w:val="263A43"/>
          <w:sz w:val="20"/>
        </w:rPr>
        <w:t>La inclusión de un bien no determina por sí sola su carácter común. Los bienes privativos, los porcentajes de titularidad, los derechos de reembolso y las cargas se identificarán por separado. Las deudas se contrastarán con sus acreedores.</w:t>
      </w:r>
    </w:p>
    <w:p>
      <w:pPr>
        <w:pStyle w:val="Heading2"/>
      </w:pPr>
      <w:r>
        <w:t>ACTIVO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Bien 1. Tipo y descripción: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localización o identificación registral: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título y fecha de adquisición: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titularidad registral: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titularidad o carácter que se propone reconocer: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precio y origen de fondos: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valor propuesto y fecha: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fuente de valoración: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cargas: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uso/posesión: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documento: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extremo discutido: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Bien 2. Tipo y descripción: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cuenta, vehículo u otra identificación: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titulares: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saldo/valor a fecha de corte: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carácter propuesto y fundamento: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carga o afección: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documento: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extremo discutido: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Otros activos, participaciones, créditos frente a terceros o frutos pendientes: </w:t>
      </w:r>
      <w:r>
        <w:rPr>
          <w:rFonts w:ascii="Arial" w:hAnsi="Arial"/>
          <w:b/>
          <w:color w:val="397CDD"/>
          <w:sz w:val="20"/>
          <w:shd w:fill="E8F0FB"/>
        </w:rPr>
        <w:t>[RELACIÓN INDIVIDUALIZADA]</w:t>
      </w:r>
      <w:r>
        <w:rPr>
          <w:rFonts w:ascii="Arial" w:hAnsi="Arial"/>
          <w:color w:val="263A43"/>
          <w:sz w:val="20"/>
        </w:rPr>
        <w:t xml:space="preserve">. Total de activo provisional: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</w:t>
      </w:r>
    </w:p>
    <w:p>
      <w:pPr>
        <w:pStyle w:val="Heading2"/>
      </w:pPr>
      <w:r>
        <w:t>PASIVO Y REEMBOLSOS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Deuda 1. Acreedor: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contrato y obligados: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origen/finalidad: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principal pendiente a fecha de corte: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intereses y gastos: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garantía: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naturaleza común/privativa propuesta y fundamento: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justificante: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discrepancia: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Crédito de reembolso 1. Persona acreedora: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pago realizado con fondos propios o comunes: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fecha e importe: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bien o deuda beneficiados: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fundamento y documento: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importe discutido/reconocido: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Total pasivo provisional admitido: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Pasivo discutido o contingente, separado: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No se descuentan dos veces préstamos, cargas y reembolsos coincidentes.</w:t>
      </w:r>
    </w:p>
    <w:p>
      <w:pPr>
        <w:pStyle w:val="Heading2"/>
      </w:pPr>
      <w:r>
        <w:t>PROPUESTA DE LIQUIDACIÓN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Primera. Patrimonio neto provisional: activo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menos pasivo admitido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=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Cuota de A, con fundamento en </w:t>
      </w:r>
      <w:r>
        <w:rPr>
          <w:rFonts w:ascii="Arial" w:hAnsi="Arial"/>
          <w:b/>
          <w:color w:val="397CDD"/>
          <w:sz w:val="20"/>
          <w:shd w:fill="E8F0FB"/>
        </w:rPr>
        <w:t>[TÍTULO O RÉGIMEN]</w:t>
      </w:r>
      <w:r>
        <w:rPr>
          <w:rFonts w:ascii="Arial" w:hAnsi="Arial"/>
          <w:color w:val="263A43"/>
          <w:sz w:val="20"/>
        </w:rPr>
        <w:t xml:space="preserve">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%. Cuota de B: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%. Haber teórico de cada uno, antes de ajustes: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Segunda. Se propone para A: </w:t>
      </w:r>
      <w:r>
        <w:rPr>
          <w:rFonts w:ascii="Arial" w:hAnsi="Arial"/>
          <w:b/>
          <w:color w:val="397CDD"/>
          <w:sz w:val="20"/>
          <w:shd w:fill="E8F0FB"/>
        </w:rPr>
        <w:t>[BIENES Y VALORES]</w:t>
      </w:r>
      <w:r>
        <w:rPr>
          <w:rFonts w:ascii="Arial" w:hAnsi="Arial"/>
          <w:color w:val="263A43"/>
          <w:sz w:val="20"/>
        </w:rPr>
        <w:t xml:space="preserve">, con asunción interna de </w:t>
      </w:r>
      <w:r>
        <w:rPr>
          <w:rFonts w:ascii="Arial" w:hAnsi="Arial"/>
          <w:b/>
          <w:color w:val="397CDD"/>
          <w:sz w:val="20"/>
          <w:shd w:fill="E8F0FB"/>
        </w:rPr>
        <w:t>[DEUDAS]</w:t>
      </w:r>
      <w:r>
        <w:rPr>
          <w:rFonts w:ascii="Arial" w:hAnsi="Arial"/>
          <w:color w:val="263A43"/>
          <w:sz w:val="20"/>
        </w:rPr>
        <w:t xml:space="preserve">, por neto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Para B: </w:t>
      </w:r>
      <w:r>
        <w:rPr>
          <w:rFonts w:ascii="Arial" w:hAnsi="Arial"/>
          <w:b/>
          <w:color w:val="397CDD"/>
          <w:sz w:val="20"/>
          <w:shd w:fill="E8F0FB"/>
        </w:rPr>
        <w:t>[BIENES Y VALORES]</w:t>
      </w:r>
      <w:r>
        <w:rPr>
          <w:rFonts w:ascii="Arial" w:hAnsi="Arial"/>
          <w:color w:val="263A43"/>
          <w:sz w:val="20"/>
        </w:rPr>
        <w:t xml:space="preserve">, con asunción interna de </w:t>
      </w:r>
      <w:r>
        <w:rPr>
          <w:rFonts w:ascii="Arial" w:hAnsi="Arial"/>
          <w:b/>
          <w:color w:val="397CDD"/>
          <w:sz w:val="20"/>
          <w:shd w:fill="E8F0FB"/>
        </w:rPr>
        <w:t>[DEUDAS]</w:t>
      </w:r>
      <w:r>
        <w:rPr>
          <w:rFonts w:ascii="Arial" w:hAnsi="Arial"/>
          <w:color w:val="263A43"/>
          <w:sz w:val="20"/>
        </w:rPr>
        <w:t xml:space="preserve">, por neto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Ajustes por reembolsos: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Compensación de igualación propuesta: </w:t>
      </w:r>
      <w:r>
        <w:rPr>
          <w:rFonts w:ascii="Arial" w:hAnsi="Arial"/>
          <w:b/>
          <w:color w:val="397CDD"/>
          <w:sz w:val="20"/>
          <w:shd w:fill="E8F0FB"/>
        </w:rPr>
        <w:t>[IMPORTE, PAGADOR, BENEFICIARIO Y FORMA]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Tercera. La asunción interna de una deuda no libera frente al acreedor al prestatario, codeudor o avalista. Cualquier liberación se condiciona a su consentimiento expreso y documentación válida. De no obtenerse, se renegociará la adjudicación; no se afirmará cancelada una hipoteca que permanezca inscrita.</w:t>
      </w:r>
    </w:p>
    <w:p>
      <w:pPr>
        <w:jc w:val="both"/>
      </w:pPr>
      <w:r>
        <w:rPr>
          <w:rFonts w:ascii="Arial" w:hAnsi="Arial"/>
          <w:color w:val="263A43"/>
          <w:sz w:val="20"/>
        </w:rPr>
        <w:t>Cuarta. Antes del acuerdo final se verificarán valores, cargas, fiscalidad, costes, posibles excesos de adjudicación y requisitos de escritura e inscripción. Los bienes o créditos omitidos se identificarán en un documento adicional, sin una renuncia genérica a reclamarlos.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Quinta. Se solicita respuesta antes de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, con objeciones por partida y alternativas. Hasta el acuerdo final se propone </w:t>
      </w:r>
      <w:r>
        <w:rPr>
          <w:rFonts w:ascii="Arial" w:hAnsi="Arial"/>
          <w:b/>
          <w:color w:val="397CDD"/>
          <w:sz w:val="20"/>
          <w:shd w:fill="E8F0FB"/>
        </w:rPr>
        <w:t>[REGLA PROVISIONAL DE CONSERVACIÓN Y PAGOS]</w:t>
      </w:r>
      <w:r>
        <w:rPr>
          <w:rFonts w:ascii="Arial" w:hAnsi="Arial"/>
          <w:color w:val="263A43"/>
          <w:sz w:val="20"/>
        </w:rPr>
        <w:t>, que solo será aplicable si se acepta expresamente y no perjudica a terceros.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 de quien propone: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Constancia de recepción, sin aceptación del contenido: </w:t>
      </w:r>
      <w:r>
        <w:rPr>
          <w:rFonts w:ascii="Arial" w:hAnsi="Arial"/>
          <w:b/>
          <w:color w:val="397CDD"/>
          <w:sz w:val="20"/>
          <w:shd w:fill="E8F0FB"/>
        </w:rPr>
        <w:t>[NOMBRE, FECHA Y FIRMA]</w:t>
      </w:r>
      <w:r>
        <w:rPr>
          <w:rFonts w:ascii="Arial" w:hAnsi="Arial"/>
          <w:color w:val="263A43"/>
          <w:sz w:val="20"/>
        </w:rPr>
        <w:t xml:space="preserve">. Documentos anexos: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Ordenar activo, pasivo, titularidades y propuesta no vinculante de reparto antes de una liquidación jurídicamente eficaz.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Se conocen el régimen matrimonial o la comunidad ordinaria y sus documentos, o se dejan expresamente pendientes de verificar.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Firma de adjudicaciones definitivas, disposición de bienes de menores, insolvencia, ocultación patrimonial o cesión de deudas sin acreedor.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Fijar fecha de corte; no existe un plazo universal de liquidación. Revisar prescripción de créditos, obligaciones fiscales y actos de disposición.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Intercambio documentado entre titulares o profesionales; escritura, aprobación judicial, registro y trámites fiscales por su cauce propio.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jurídica y fiscal obligatoria por política de seguridad antes de aceptar adjudicaciones. Notaría/registro cuando procedan.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Título del régimen y disolución; escrituras; notas registrales; certificados bancarios; préstamos; facturas; valoraciones y saldos.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No se presupone ganancialidad, propiedad por mitad ni liberación hipotecaria. Se configura como propuesta preparatoria, no adjudicación ni escritura.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Los modelos de familia se basan en Derecho civil común. Comprobar vecindad civil, puntos de conexión, Derecho autonómico/foral y elementos internacionales; la residencia por sí sola no determina siempre el régimen aplicable.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NOMBRE, DNI/NIE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SOCIEDAD DE GANANCIALES / OTRO RÉGIMEN MATRIMONIAL / COMUNIDAD ORDINARIA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RELACIÓN INDIVIDUALIZADA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TÍTULO O RÉGIMEN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BIENES Y VALORES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DEUDAS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IMPORTE, PAGADOR, BENEFICIARIO Y FORMA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REGLA PROVISIONAL DE CONSERVACIÓN Y PAGOS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NOMBRE, FECHA Y FIRMA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RELACIÓN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Código Civil — https://www.boe.es/buscar/act.php?id=BOE-A-1889-4763: arts. 392 a 406, 1315 a 1325, 1344 a 1361 y 1392 a 1410.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1/2000, de Enjuiciamiento Civil — https://www.boe.es/eli/es/l/2000/01/07/1/con: arts. 806 a 811.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