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  <w:r>
        <w:rPr>
          <w:b/>
          <w:sz w:val="18"/>
        </w:rPr>
        <w:t>PENAL · FICHA PRIVADA DE PREPARACIÓN</w:t>
      </w:r>
    </w:p>
    <w:p>
      <w:pPr>
        <w:pStyle w:val="Title"/>
      </w:pPr>
      <w:r>
        <w:t>Inventario de fuentes de prueba penal</w:t>
      </w:r>
    </w:p>
    <w:p>
      <w:pPr/>
      <w:r>
        <w:t>Identifica mensajes, archivos, objetos y posibles testigos con su origen y ubicación. No certifica autenticidad ni constituye una cadena de custodia judicial.</w:t>
      </w:r>
    </w:p>
    <w:p>
      <w:pPr/>
      <w:r>
        <w:t xml:space="preserve">Asunto: </w:t>
      </w:r>
      <w:r>
        <w:rPr>
          <w:b/>
          <w:color w:val="2F80ED"/>
          <w:shd w:val="clear" w:fill="EAF1FB"/>
        </w:rPr>
        <w:t>[REFERENCIA]</w:t>
      </w:r>
      <w:r>
        <w:t xml:space="preserve">. Responsable de esta relación: </w:t>
      </w:r>
      <w:r>
        <w:rPr>
          <w:b/>
          <w:color w:val="2F80ED"/>
          <w:shd w:val="clear" w:fill="EAF1FB"/>
        </w:rPr>
        <w:t>[NOMBRE]</w:t>
      </w:r>
      <w:r>
        <w:t xml:space="preserve">. Fecha y versión: </w:t>
      </w:r>
      <w:r>
        <w:rPr>
          <w:b/>
          <w:color w:val="2F80ED"/>
          <w:shd w:val="clear" w:fill="EAF1FB"/>
        </w:rPr>
        <w:t>[DATOS]</w:t>
      </w:r>
      <w:r>
        <w:t>.</w:t>
      </w:r>
    </w:p>
    <w:p>
      <w:pPr>
        <w:pStyle w:val="Heading2"/>
      </w:pPr>
      <w:r>
        <w:t>Un bloque por archivo, documento u objeto</w:t>
      </w:r>
    </w:p>
    <w:p>
      <w:pPr/>
      <w:r>
        <w:t xml:space="preserve">Identificador </w:t>
      </w:r>
      <w:r>
        <w:rPr>
          <w:b/>
          <w:color w:val="2F80ED"/>
          <w:shd w:val="clear" w:fill="EAF1FB"/>
        </w:rPr>
        <w:t>[P-001]</w:t>
      </w:r>
      <w:r>
        <w:t xml:space="preserve">. Tipo y descripción </w:t>
      </w:r>
      <w:r>
        <w:rPr>
          <w:b/>
          <w:color w:val="2F80ED"/>
          <w:shd w:val="clear" w:fill="EAF1FB"/>
        </w:rPr>
        <w:t>[DATOS]</w:t>
      </w:r>
      <w:r>
        <w:t xml:space="preserve">. Hecho relacionado </w:t>
      </w:r>
      <w:r>
        <w:rPr>
          <w:b/>
          <w:color w:val="2F80ED"/>
          <w:shd w:val="clear" w:fill="EAF1FB"/>
        </w:rPr>
        <w:t>[NÚMERO DE CRONOLOGÍA]</w:t>
      </w:r>
      <w:r>
        <w:t xml:space="preserve">. Fecha que figura en la fuente </w:t>
      </w:r>
      <w:r>
        <w:rPr>
          <w:b/>
          <w:color w:val="2F80ED"/>
          <w:shd w:val="clear" w:fill="EAF1FB"/>
        </w:rPr>
        <w:t>[DATO Y ZONA HORARIA, SI IMPORTA]</w:t>
      </w:r>
      <w:r>
        <w:t xml:space="preserve">. Fecha de obtención </w:t>
      </w:r>
      <w:r>
        <w:rPr>
          <w:b/>
          <w:color w:val="2F80ED"/>
          <w:shd w:val="clear" w:fill="EAF1FB"/>
        </w:rPr>
        <w:t>[DATO]</w:t>
      </w:r>
      <w:r>
        <w:t>.</w:t>
      </w:r>
    </w:p>
    <w:p>
      <w:pPr/>
      <w:r>
        <w:t xml:space="preserve">Origen y modo de obtención: </w:t>
      </w:r>
      <w:r>
        <w:rPr>
          <w:b/>
          <w:color w:val="2F80ED"/>
          <w:shd w:val="clear" w:fill="EAF1FB"/>
        </w:rPr>
        <w:t>[QUIÉN, CÓMO Y ACCESO LEGÍTIMO]</w:t>
      </w:r>
      <w:r>
        <w:t xml:space="preserve">. Emisor o autor que consta: </w:t>
      </w:r>
      <w:r>
        <w:rPr>
          <w:b/>
          <w:color w:val="2F80ED"/>
          <w:shd w:val="clear" w:fill="EAF1FB"/>
        </w:rPr>
        <w:t>[DATOS O NO VERIFICADO]</w:t>
      </w:r>
      <w:r>
        <w:t xml:space="preserve">. Contenido y contexto relevante: </w:t>
      </w:r>
      <w:r>
        <w:rPr>
          <w:b/>
          <w:color w:val="2F80ED"/>
          <w:shd w:val="clear" w:fill="EAF1FB"/>
        </w:rPr>
        <w:t>[DESCRIPCIÓN NEUTRA]</w:t>
      </w:r>
      <w:r>
        <w:t xml:space="preserve">. Limitaciones: </w:t>
      </w:r>
      <w:r>
        <w:rPr>
          <w:b/>
          <w:color w:val="2F80ED"/>
          <w:shd w:val="clear" w:fill="EAF1FB"/>
        </w:rPr>
        <w:t>[COPIA PARCIAL, FALTA DE CONTEXTO U OTRAS]</w:t>
      </w:r>
      <w:r>
        <w:t>.</w:t>
      </w:r>
    </w:p>
    <w:p>
      <w:pPr/>
      <w:r>
        <w:t xml:space="preserve">Original: </w:t>
      </w:r>
      <w:r>
        <w:rPr>
          <w:b/>
          <w:color w:val="2F80ED"/>
          <w:shd w:val="clear" w:fill="EAF1FB"/>
        </w:rPr>
        <w:t>[DISPOSITIVO O SOPORTE, UBICACIÓN SEGURA Y CUSTODIO]</w:t>
      </w:r>
      <w:r>
        <w:t xml:space="preserve">. Copias y operaciones realizadas: </w:t>
      </w:r>
      <w:r>
        <w:rPr>
          <w:b/>
          <w:color w:val="2F80ED"/>
          <w:shd w:val="clear" w:fill="EAF1FB"/>
        </w:rPr>
        <w:t>[EXPORTACIONES, CONVERSIONES, EDICIONES O ENTREGAS, CON FECHA Y PERSONA]</w:t>
      </w:r>
      <w:r>
        <w:t xml:space="preserve">. Formato y tamaño conocidos </w:t>
      </w:r>
      <w:r>
        <w:rPr>
          <w:b/>
          <w:color w:val="2F80ED"/>
          <w:shd w:val="clear" w:fill="EAF1FB"/>
        </w:rPr>
        <w:t>[DATOS]</w:t>
      </w:r>
      <w:r>
        <w:t>.</w:t>
      </w:r>
    </w:p>
    <w:p>
      <w:pPr/>
      <w:r>
        <w:t xml:space="preserve">Huella digital, solo si ya existe: </w:t>
      </w:r>
      <w:r>
        <w:rPr>
          <w:b/>
          <w:color w:val="2F80ED"/>
          <w:shd w:val="clear" w:fill="EAF1FB"/>
        </w:rPr>
        <w:t>[ALGORITMO, VALOR Y QUIÉN LA CALCULÓ O NO CALCULADA]</w:t>
      </w:r>
      <w:r>
        <w:t xml:space="preserve">. No acredita por sí sola la autoría ni el origen. </w:t>
      </w:r>
      <w:r>
        <w:rPr>
          <w:b/>
          <w:color w:val="2F80ED"/>
          <w:shd w:val="clear" w:fill="EAF1FB"/>
        </w:rPr>
        <w:t>[REPETIR POR CADA FUENTE]</w:t>
      </w:r>
      <w:r>
        <w:t>.</w:t>
      </w:r>
    </w:p>
    <w:p>
      <w:pPr>
        <w:pStyle w:val="Heading2"/>
      </w:pPr>
      <w:r>
        <w:t>Fuentes de tercero y testigos</w:t>
      </w:r>
    </w:p>
    <w:p>
      <w:pPr/>
      <w:r>
        <w:t xml:space="preserve">Cámara, registro o documento de tercero: </w:t>
      </w:r>
      <w:r>
        <w:rPr>
          <w:b/>
          <w:color w:val="2F80ED"/>
          <w:shd w:val="clear" w:fill="EAF1FB"/>
        </w:rPr>
        <w:t>[RESPONSABLE, LUGAR Y FRANJA TEMPORAL]</w:t>
      </w:r>
      <w:r>
        <w:t xml:space="preserve">. Puede aclarar </w:t>
      </w:r>
      <w:r>
        <w:rPr>
          <w:b/>
          <w:color w:val="2F80ED"/>
          <w:shd w:val="clear" w:fill="EAF1FB"/>
        </w:rPr>
        <w:t>[HECHO]</w:t>
      </w:r>
      <w:r>
        <w:t xml:space="preserve">. Riesgo de pérdida </w:t>
      </w:r>
      <w:r>
        <w:rPr>
          <w:b/>
          <w:color w:val="2F80ED"/>
          <w:shd w:val="clear" w:fill="EAF1FB"/>
        </w:rPr>
        <w:t>[CAUSA Y FECHA]</w:t>
      </w:r>
      <w:r>
        <w:t xml:space="preserve">. Conservación consultada con abogado o autoridad: </w:t>
      </w:r>
      <w:r>
        <w:rPr>
          <w:b/>
          <w:color w:val="2F80ED"/>
          <w:shd w:val="clear" w:fill="EAF1FB"/>
        </w:rPr>
        <w:t>[DATOS O PENDIENTE]</w:t>
      </w:r>
      <w:r>
        <w:t>.</w:t>
      </w:r>
    </w:p>
    <w:p>
      <w:pPr/>
      <w:r>
        <w:t xml:space="preserve">Posible testigo </w:t>
      </w:r>
      <w:r>
        <w:rPr>
          <w:b/>
          <w:color w:val="2F80ED"/>
          <w:shd w:val="clear" w:fill="EAF1FB"/>
        </w:rPr>
        <w:t>[IDENTIFICACIÓN Y CONTACTO MÍNIMO]</w:t>
      </w:r>
      <w:r>
        <w:t xml:space="preserve">. Qué conoce directamente </w:t>
      </w:r>
      <w:r>
        <w:rPr>
          <w:b/>
          <w:color w:val="2F80ED"/>
          <w:shd w:val="clear" w:fill="EAF1FB"/>
        </w:rPr>
        <w:t>[HECHOS]</w:t>
      </w:r>
      <w:r>
        <w:t xml:space="preserve">; qué sabe por terceros </w:t>
      </w:r>
      <w:r>
        <w:rPr>
          <w:b/>
          <w:color w:val="2F80ED"/>
          <w:shd w:val="clear" w:fill="EAF1FB"/>
        </w:rPr>
        <w:t>[HECHOS Y FUENTE]</w:t>
      </w:r>
      <w:r>
        <w:t xml:space="preserve">. Relación con las personas afectadas </w:t>
      </w:r>
      <w:r>
        <w:rPr>
          <w:b/>
          <w:color w:val="2F80ED"/>
          <w:shd w:val="clear" w:fill="EAF1FB"/>
        </w:rPr>
        <w:t>[DATOS]</w:t>
      </w:r>
      <w:r>
        <w:t>. No se incorpora una declaración consensuada.</w:t>
      </w:r>
    </w:p>
    <w:p>
      <w:pPr>
        <w:pStyle w:val="Heading2"/>
      </w:pPr>
      <w:r>
        <w:t>Entregas y pendientes</w:t>
      </w:r>
    </w:p>
    <w:p>
      <w:pPr/>
      <w:r>
        <w:t xml:space="preserve">El </w:t>
      </w:r>
      <w:r>
        <w:rPr>
          <w:b/>
          <w:color w:val="2F80ED"/>
          <w:shd w:val="clear" w:fill="EAF1FB"/>
        </w:rPr>
        <w:t>[FECHA]</w:t>
      </w:r>
      <w:r>
        <w:t xml:space="preserve">, </w:t>
      </w:r>
      <w:r>
        <w:rPr>
          <w:b/>
          <w:color w:val="2F80ED"/>
          <w:shd w:val="clear" w:fill="EAF1FB"/>
        </w:rPr>
        <w:t>[PERSONA]</w:t>
      </w:r>
      <w:r>
        <w:t xml:space="preserve"> entregó </w:t>
      </w:r>
      <w:r>
        <w:rPr>
          <w:b/>
          <w:color w:val="2F80ED"/>
          <w:shd w:val="clear" w:fill="EAF1FB"/>
        </w:rPr>
        <w:t>[IDENTIFICADORES, ORIGINAL O COPIA]</w:t>
      </w:r>
      <w:r>
        <w:t xml:space="preserve"> a </w:t>
      </w:r>
      <w:r>
        <w:rPr>
          <w:b/>
          <w:color w:val="2F80ED"/>
          <w:shd w:val="clear" w:fill="EAF1FB"/>
        </w:rPr>
        <w:t>[DESTINATARIO]</w:t>
      </w:r>
      <w:r>
        <w:t xml:space="preserve"> por </w:t>
      </w:r>
      <w:r>
        <w:rPr>
          <w:b/>
          <w:color w:val="2F80ED"/>
          <w:shd w:val="clear" w:fill="EAF1FB"/>
        </w:rPr>
        <w:t>[CANAL]</w:t>
      </w:r>
      <w:r>
        <w:t xml:space="preserve">. Justificante, si existe </w:t>
      </w:r>
      <w:r>
        <w:rPr>
          <w:b/>
          <w:color w:val="2F80ED"/>
          <w:shd w:val="clear" w:fill="EAF1FB"/>
        </w:rPr>
        <w:t>[REFERENCIA]</w:t>
      </w:r>
      <w:r>
        <w:t xml:space="preserve">. El original quedó </w:t>
      </w:r>
      <w:r>
        <w:rPr>
          <w:b/>
          <w:color w:val="2F80ED"/>
          <w:shd w:val="clear" w:fill="EAF1FB"/>
        </w:rPr>
        <w:t>[SITUACIÓN]</w:t>
      </w:r>
      <w:r>
        <w:t>.</w:t>
      </w:r>
    </w:p>
    <w:p>
      <w:pPr/>
      <w:r>
        <w:t xml:space="preserve">Incidencias, cambios, pérdidas o fuentes pendientes: </w:t>
      </w:r>
      <w:r>
        <w:rPr>
          <w:b/>
          <w:color w:val="2F80ED"/>
          <w:shd w:val="clear" w:fill="EAF1FB"/>
        </w:rPr>
        <w:t>[RELACIÓN]</w:t>
      </w:r>
      <w:r>
        <w:t xml:space="preserve">. Próxima decisión que debe revisar el abogado: </w:t>
      </w:r>
      <w:r>
        <w:rPr>
          <w:b/>
          <w:color w:val="2F80ED"/>
          <w:shd w:val="clear" w:fill="EAF1FB"/>
        </w:rPr>
        <w:t>[PREGUNTA]</w:t>
      </w:r>
      <w:r>
        <w:t>.</w:t>
      </w:r>
    </w:p>
    <w:p>
      <w:pPr>
        <w:pStyle w:val="Heading1"/>
        <w:pageBreakBefore/>
      </w:pPr>
      <w:r>
        <w:t>Guía de uso y ejemplos</w:t>
      </w:r>
    </w:p>
    <w:p>
      <w:pPr/>
      <w:r>
        <w:t>USO PRIVADO. La ficha sirve para preparar la asistencia, no para presentarla como declaración. Los ejemplos de esta guía son ficticios: no los copies como hechos ni los mezcles con tus recuerdos. Comparte tus datos por el canal seguro acordado.</w:t>
      </w:r>
    </w:p>
    <w:p>
      <w:pPr>
        <w:pStyle w:val="Heading2"/>
      </w:pPr>
      <w:r>
        <w:t>Qué comprobar</w:t>
      </w:r>
    </w:p>
    <w:p>
      <w:pPr>
        <w:pStyle w:val="ListBullet"/>
      </w:pPr>
      <w:r>
        <w:t>Conserva el original y el contexto; trabaja sobre copias.</w:t>
      </w:r>
    </w:p>
    <w:p>
      <w:pPr>
        <w:pStyle w:val="ListBullet"/>
      </w:pPr>
      <w:r>
        <w:t>Registra lo que se haya modificado, convertido o entregado.</w:t>
      </w:r>
    </w:p>
    <w:p>
      <w:pPr>
        <w:pStyle w:val="ListBullet"/>
      </w:pPr>
      <w:r>
        <w:t>No entres en cuentas ni dispositivos ajenos sin legitimación.</w:t>
      </w:r>
    </w:p>
    <w:p>
      <w:pPr>
        <w:pStyle w:val="ListBullet"/>
      </w:pPr>
      <w:r>
        <w:t>No confundas una captura o una huella con prueba definitiva.</w:t>
      </w:r>
    </w:p>
    <w:p>
      <w:pPr>
        <w:pStyle w:val="Heading2"/>
      </w:pPr>
      <w:r>
        <w:t>Finalidad y límites</w:t>
      </w:r>
    </w:p>
    <w:p>
      <w:pPr/>
      <w:r>
        <w:t>La admisibilidad, autenticidad e integridad se valoran en el procedimiento. Puede ser necesaria comprobación técnica; este inventario no la sustituye ni vuelve lícita una obtención ilícita.</w:t>
      </w:r>
    </w:p>
    <w:p>
      <w:pPr/>
      <w:r>
        <w:t>Si hay material sexual de menores, no lo descargues ni reenvíes para inventariarlo: comunica su localización a la policía. Ante una fuente que pueda borrarse, consulta su conservación sin acceder por tu cuenta a sistemas ajenos.</w:t>
      </w:r>
    </w:p>
    <w:p>
      <w:pPr>
        <w:pStyle w:val="Heading2"/>
      </w:pPr>
      <w:r>
        <w:t>Ejemplos para orientar la preparación</w:t>
      </w:r>
    </w:p>
    <w:p>
      <w:pPr/>
      <w:r>
        <w:t>Ejemplo ficticio: «P-001: exportación de una conversación de mi propio teléfono, realizada el 12 de octubre; conserva mensajes anteriores y posteriores. El original sigue en el dispositivo. La captura P-002 solo muestra una parte». Identifica origen y limitación sin afirmar que el archivo sea irrefutable.</w:t>
      </w:r>
    </w:p>
    <w:p>
      <w:pPr/>
      <w:r>
        <w:t>Ejemplo de fuente de tercero: una tienda podría tener imágenes de la franja de 18:00 a 18:30. Anota establecimiento, fecha y zona; consulta pronto su conservación con la autoridad o el abogado. No pidas acceder a cámaras por una cuenta ajena.</w:t>
      </w:r>
    </w:p>
    <w:p>
      <w:pPr>
        <w:pStyle w:val="Heading2"/>
      </w:pPr>
      <w:r>
        <w:t>Fuentes oficiales</w:t>
      </w:r>
    </w:p>
    <w:p>
      <w:pPr/>
      <w:r>
        <w:t>LECrim, arts. 265.2, 334 y 338: fuentes y conservación de efectos. La ficha no acredita por sí sola la licitud o valor de la prueba.</w:t>
      </w:r>
    </w:p>
    <w:p>
      <w:pPr>
        <w:spacing w:after="40"/>
      </w:pPr>
      <w:hyperlink r:id="rId11">
        <w:r>
          <w:rPr>
            <w:color w:val="2F80ED"/>
            <w:u w:val="single"/>
            <w:sz w:val="19"/>
          </w:rPr>
          <w:t>LECrim: identificación de fuentes</w:t>
        </w:r>
      </w:hyperlink>
    </w:p>
    <w:p>
      <w:pPr>
        <w:spacing w:after="40"/>
      </w:pPr>
      <w:hyperlink r:id="rId12">
        <w:r>
          <w:rPr>
            <w:color w:val="2F80ED"/>
            <w:u w:val="single"/>
            <w:sz w:val="19"/>
          </w:rPr>
          <w:t>LECrim: conservación de efectos</w:t>
        </w:r>
      </w:hyperlink>
    </w:p>
    <w:p>
      <w:pPr/>
      <w:r>
        <w:t>Revisión: 15 de octubre de 2026. Comprueba la norma, el procedimiento y la situación real antes de utilizar el documento.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  <w:jc w:val="left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="Georgia" w:hAnsi="Georgia"/>
      <w:b/>
      <w:bCs/>
      <w:color w:val="000000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="Georgia" w:hAnsi="Georgia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="Georgia" w:hAnsi="Georgia"/>
      <w:b/>
      <w:bCs/>
      <w:color w:val="000000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80"/>
      <w:contextualSpacing/>
    </w:pPr>
    <w:rPr>
      <w:rFonts w:ascii="Georgia" w:hAnsi="Georgia"/>
      <w:b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boe.es/buscar/act.php?id=BOE-A-1882-6036#a265" TargetMode="External"/><Relationship Id="rId12" Type="http://schemas.openxmlformats.org/officeDocument/2006/relationships/hyperlink" Target="https://www.boe.es/buscar/act.php?id=BOE-A-1882-6036#a33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Inventario de fuentes de prueba penal</dc:title>
  <dc:subject>Identifica mensajes, archivos, objetos y posibles testigos con su origen y ubicación. No certifica autenticidad ni constituye una cadena de custodia judicial.</dc:subject>
  <dc:creator>Pérez &amp; Burgos Abogados</dc:creator>
  <cp:keywords/>
  <dc:description>Modelo jurídico editable de Pérez &amp; Burgos Abogados</dc:description>
  <cp:lastModifiedBy>Pérez &amp; Burgos Abogados</cp:lastModifiedBy>
  <cp:revision>1</cp:revision>
  <dcterms:created xsi:type="dcterms:W3CDTF">2013-12-23T23:15:00Z</dcterms:created>
  <dcterms:modified xsi:type="dcterms:W3CDTF">2026-10-15T18:00:00Z</dcterms:modified>
  <cp:category/>
</cp:coreProperties>
</file>