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CIVIL Y HERENCIAS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Inventario de bienes, derechos y deudas de una herencia</w:t>
      </w:r>
    </w:p>
    <w:p>
      <w:pPr>
        <w:jc w:val="center"/>
      </w:pPr>
      <w:r>
        <w:rPr>
          <w:rFonts w:ascii="Arial" w:hAnsi="Arial"/>
          <w:color w:val="68777D"/>
          <w:sz w:val="20"/>
        </w:rPr>
        <w:t>Ficha de trabajo para identificar y documentar el patrimonio hereditario, sin aceptar ni repartir la herencia.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FICHA DE PREPARACIÓN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Inventariar no protege por sí solo frente a deudas. No retire fondos, venda bienes o actúe como propietario para completar esta ficha. Este recurso no sustituye la repudiación notarial ni la declaración y el inventario necesarios para el beneficio de inventario. En Derecho común, la aceptación pura y simple puede ser expresa en documento público o privado, o tácita por los actos realizados; una cláusula de reserva no neutraliza un acto que jurídicamente implique aceptación.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FICHA DE PREPARACIÓN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INVENTARIO PRIVADO DE TRABAJO — SIN ACEPTACIÓN NI REPARTO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Causante: </w:t>
      </w:r>
      <w:r>
        <w:rPr>
          <w:rFonts w:ascii="Arial" w:hAnsi="Arial"/>
          <w:b/>
          <w:color w:val="397CDD"/>
          <w:sz w:val="20"/>
          <w:shd w:fill="E8F0FB"/>
        </w:rPr>
        <w:t>[NOMBRE, IDENTIFICACIÓN Y FECHA DE FALLECIMIENTO]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Persona que prepara la ficha: </w:t>
      </w:r>
      <w:r>
        <w:rPr>
          <w:rFonts w:ascii="Arial" w:hAnsi="Arial"/>
          <w:b/>
          <w:color w:val="397CDD"/>
          <w:sz w:val="20"/>
          <w:shd w:fill="E8F0FB"/>
        </w:rPr>
        <w:t>[NOMBRE Y RELACIÓN]</w:t>
      </w:r>
      <w:r>
        <w:rPr>
          <w:rFonts w:ascii="Arial" w:hAnsi="Arial"/>
          <w:color w:val="263A43"/>
          <w:sz w:val="20"/>
        </w:rPr>
        <w:t xml:space="preserve">. Fecha y versión: </w:t>
      </w:r>
      <w:r>
        <w:rPr>
          <w:rFonts w:ascii="Arial" w:hAnsi="Arial"/>
          <w:b/>
          <w:color w:val="397CDD"/>
          <w:sz w:val="20"/>
          <w:shd w:fill="E8F0FB"/>
        </w:rPr>
        <w:t>[FECHA / VERSIÓN]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Objeto: recopilar datos. Las titularidades y valores pendientes de confirmar no se declaran definitivos.</w:t>
      </w:r>
    </w:p>
    <w:p>
      <w:pPr>
        <w:pStyle w:val="Heading2"/>
      </w:pPr>
      <w:r>
        <w:t>1. DATOS SUCESORIOS Y PERSONALES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Último domicilio y residencia habitual: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Nacionalidad y vecindad civil documentadas: </w:t>
      </w:r>
      <w:r>
        <w:rPr>
          <w:rFonts w:ascii="Arial" w:hAnsi="Arial"/>
          <w:b/>
          <w:color w:val="397CDD"/>
          <w:sz w:val="20"/>
          <w:shd w:fill="E8F0FB"/>
        </w:rPr>
        <w:t>[DATOS / PENDIENTE]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Ley sucesoria identificada y fundamento: </w:t>
      </w:r>
      <w:r>
        <w:rPr>
          <w:rFonts w:ascii="Arial" w:hAnsi="Arial"/>
          <w:b/>
          <w:color w:val="397CDD"/>
          <w:sz w:val="20"/>
          <w:shd w:fill="E8F0FB"/>
        </w:rPr>
        <w:t>[LEY Y DOCUMENTO / PENDIENTE DE REVISIÓN]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Estado civil y régimen económico matrimonial: </w:t>
      </w:r>
      <w:r>
        <w:rPr>
          <w:rFonts w:ascii="Arial" w:hAnsi="Arial"/>
          <w:b/>
          <w:color w:val="397CDD"/>
          <w:sz w:val="20"/>
          <w:shd w:fill="E8F0FB"/>
        </w:rPr>
        <w:t>[DATOS Y FUENTE]</w:t>
      </w:r>
      <w:r>
        <w:rPr>
          <w:rFonts w:ascii="Arial" w:hAnsi="Arial"/>
          <w:color w:val="263A43"/>
          <w:sz w:val="20"/>
        </w:rPr>
        <w:t xml:space="preserve">. Liquidación previa necesaria: </w:t>
      </w:r>
      <w:r>
        <w:rPr>
          <w:rFonts w:ascii="Arial" w:hAnsi="Arial"/>
          <w:b/>
          <w:color w:val="397CDD"/>
          <w:sz w:val="20"/>
          <w:shd w:fill="E8F0FB"/>
        </w:rPr>
        <w:t>[SÍ / NO / PENDIENTE]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Título sucesorio disponible: </w:t>
      </w:r>
      <w:r>
        <w:rPr>
          <w:rFonts w:ascii="Arial" w:hAnsi="Arial"/>
          <w:b/>
          <w:color w:val="397CDD"/>
          <w:sz w:val="20"/>
          <w:shd w:fill="E8F0FB"/>
        </w:rPr>
        <w:t>[TESTAMENTO / DECLARACIÓN / OTRO / PENDIENTE]</w:t>
      </w:r>
      <w:r>
        <w:rPr>
          <w:rFonts w:ascii="Arial" w:hAnsi="Arial"/>
          <w:color w:val="263A43"/>
          <w:sz w:val="20"/>
        </w:rPr>
        <w:t xml:space="preserve">. Personas llamadas y derechos conocidos: </w:t>
      </w:r>
      <w:r>
        <w:rPr>
          <w:rFonts w:ascii="Arial" w:hAnsi="Arial"/>
          <w:b/>
          <w:color w:val="397CDD"/>
          <w:sz w:val="20"/>
          <w:shd w:fill="E8F0FB"/>
        </w:rPr>
        <w:t>[RELACIÓN, SIN DAR POR HECHA LA ACEPTACIÓN]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Actos ya realizados sobre bienes y fondos: </w:t>
      </w:r>
      <w:r>
        <w:rPr>
          <w:rFonts w:ascii="Arial" w:hAnsi="Arial"/>
          <w:b/>
          <w:color w:val="397CDD"/>
          <w:sz w:val="20"/>
          <w:shd w:fill="E8F0FB"/>
        </w:rPr>
        <w:t>[ACTO, FECHA, PERSONA E IMPORTE / NINGUNO CONOCIDO]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2. INMUEBLES — REPETIR POR CADA BIEN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Título de adquisición y titularidad: </w:t>
      </w:r>
      <w:r>
        <w:rPr>
          <w:rFonts w:ascii="Arial" w:hAnsi="Arial"/>
          <w:b/>
          <w:color w:val="397CDD"/>
          <w:sz w:val="20"/>
          <w:shd w:fill="E8F0FB"/>
        </w:rPr>
        <w:t>[DOCUMENTO, FECHA Y DERECHO]</w:t>
      </w:r>
      <w:r>
        <w:rPr>
          <w:rFonts w:ascii="Arial" w:hAnsi="Arial"/>
          <w:color w:val="263A43"/>
          <w:sz w:val="20"/>
        </w:rPr>
        <w:t xml:space="preserve">. Participación del causante: </w:t>
      </w:r>
      <w:r>
        <w:rPr>
          <w:rFonts w:ascii="Arial" w:hAnsi="Arial"/>
          <w:b/>
          <w:color w:val="397CDD"/>
          <w:sz w:val="20"/>
          <w:shd w:fill="E8F0FB"/>
        </w:rPr>
        <w:t>[PORCENTAJE DOCUMENTADO / PENDIENTE]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Ocupación, arrendamiento, usufructo u otros derechos: </w:t>
      </w:r>
      <w:r>
        <w:rPr>
          <w:rFonts w:ascii="Arial" w:hAnsi="Arial"/>
          <w:b/>
          <w:color w:val="397CDD"/>
          <w:sz w:val="20"/>
          <w:shd w:fill="E8F0FB"/>
        </w:rPr>
        <w:t>[DETALLE Y DOCUMENTO]</w:t>
      </w:r>
      <w:r>
        <w:rPr>
          <w:rFonts w:ascii="Arial" w:hAnsi="Arial"/>
          <w:color w:val="263A43"/>
          <w:sz w:val="20"/>
        </w:rPr>
        <w:t xml:space="preserve">. Cargas inscritas: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 xml:space="preserve">. Préstamo vinculado: </w:t>
      </w:r>
      <w:r>
        <w:rPr>
          <w:rFonts w:ascii="Arial" w:hAnsi="Arial"/>
          <w:b/>
          <w:color w:val="397CDD"/>
          <w:sz w:val="20"/>
          <w:shd w:fill="E8F0FB"/>
        </w:rPr>
        <w:t>[D-XX, SIN DUPLICAR]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Valor total orientativo: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. Fecha, método y fuente: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Valor atribuible provisionalmente a la herencia: </w:t>
      </w:r>
      <w:r>
        <w:rPr>
          <w:rFonts w:ascii="Arial" w:hAnsi="Arial"/>
          <w:b/>
          <w:color w:val="397CDD"/>
          <w:sz w:val="20"/>
          <w:shd w:fill="E8F0FB"/>
        </w:rPr>
        <w:t>[IMPORTE Y CÁLCULO]</w:t>
      </w:r>
      <w:r>
        <w:rPr>
          <w:rFonts w:ascii="Arial" w:hAnsi="Arial"/>
          <w:color w:val="263A43"/>
          <w:sz w:val="20"/>
        </w:rPr>
        <w:t xml:space="preserve">. Valor fiscal: </w:t>
      </w:r>
      <w:r>
        <w:rPr>
          <w:rFonts w:ascii="Arial" w:hAnsi="Arial"/>
          <w:b/>
          <w:color w:val="397CDD"/>
          <w:sz w:val="20"/>
          <w:shd w:fill="E8F0FB"/>
        </w:rPr>
        <w:t>[PENDIENTE DE COMPROBACIÓN / DATO Y FUENTE]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3. CUENTAS, DEPÓSITOS, VALORES Y CRÉDITOS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Saldo o número de títulos a fecha de fallecimiento: </w:t>
      </w:r>
      <w:r>
        <w:rPr>
          <w:rFonts w:ascii="Arial" w:hAnsi="Arial"/>
          <w:b/>
          <w:color w:val="397CDD"/>
          <w:sz w:val="20"/>
          <w:shd w:fill="E8F0FB"/>
        </w:rPr>
        <w:t>[DATO CERTIFICADO]</w:t>
      </w:r>
      <w:r>
        <w:rPr>
          <w:rFonts w:ascii="Arial" w:hAnsi="Arial"/>
          <w:color w:val="263A43"/>
          <w:sz w:val="20"/>
        </w:rPr>
        <w:t xml:space="preserve">. Propiedad material de los fondos: </w:t>
      </w:r>
      <w:r>
        <w:rPr>
          <w:rFonts w:ascii="Arial" w:hAnsi="Arial"/>
          <w:b/>
          <w:color w:val="397CDD"/>
          <w:sz w:val="20"/>
          <w:shd w:fill="E8F0FB"/>
        </w:rPr>
        <w:t>[DOCUMENTOS / PENDIENTE; NO INFERIR SOLO DE LOS TITULARES]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Importe provisional atribuible al causante: </w:t>
      </w:r>
      <w:r>
        <w:rPr>
          <w:rFonts w:ascii="Arial" w:hAnsi="Arial"/>
          <w:b/>
          <w:color w:val="397CDD"/>
          <w:sz w:val="20"/>
          <w:shd w:fill="E8F0FB"/>
        </w:rPr>
        <w:t>[IMPORTE Y FUNDAMENTO]</w:t>
      </w:r>
      <w:r>
        <w:rPr>
          <w:rFonts w:ascii="Arial" w:hAnsi="Arial"/>
          <w:color w:val="263A43"/>
          <w:sz w:val="20"/>
        </w:rPr>
        <w:t xml:space="preserve">. Movimientos posteriores a revisar: </w:t>
      </w:r>
      <w:r>
        <w:rPr>
          <w:rFonts w:ascii="Arial" w:hAnsi="Arial"/>
          <w:b/>
          <w:color w:val="397CDD"/>
          <w:sz w:val="20"/>
          <w:shd w:fill="E8F0FB"/>
        </w:rPr>
        <w:t>[FECHA, IMPORTE Y JUSTIFICANTE]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Crédito frente a tercero: </w:t>
      </w:r>
      <w:r>
        <w:rPr>
          <w:rFonts w:ascii="Arial" w:hAnsi="Arial"/>
          <w:b/>
          <w:color w:val="397CDD"/>
          <w:sz w:val="20"/>
          <w:shd w:fill="E8F0FB"/>
        </w:rPr>
        <w:t>[DEUDOR, CONCEPTO, VENCIMIENTO, IMPORTE Y POSIBILIDAD DE COBRO]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4. OTROS BIENES Y DERECHOS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Titularidad, limitaciones y custodio: </w:t>
      </w:r>
      <w:r>
        <w:rPr>
          <w:rFonts w:ascii="Arial" w:hAnsi="Arial"/>
          <w:b/>
          <w:color w:val="397CDD"/>
          <w:sz w:val="20"/>
          <w:shd w:fill="E8F0FB"/>
        </w:rPr>
        <w:t>[DOCUMENTOS Y DATOS]</w:t>
      </w:r>
      <w:r>
        <w:rPr>
          <w:rFonts w:ascii="Arial" w:hAnsi="Arial"/>
          <w:color w:val="263A43"/>
          <w:sz w:val="20"/>
        </w:rPr>
        <w:t xml:space="preserve">. Valor provisional y fuente: </w:t>
      </w:r>
      <w:r>
        <w:rPr>
          <w:rFonts w:ascii="Arial" w:hAnsi="Arial"/>
          <w:b/>
          <w:color w:val="397CDD"/>
          <w:sz w:val="20"/>
          <w:shd w:fill="E8F0FB"/>
        </w:rPr>
        <w:t>[IMPORTE, FECHA Y MÉTODO]</w:t>
      </w:r>
      <w:r>
        <w:rPr>
          <w:rFonts w:ascii="Arial" w:hAnsi="Arial"/>
          <w:color w:val="263A43"/>
          <w:sz w:val="20"/>
        </w:rPr>
        <w:t xml:space="preserve">. Acceso legítimo pendiente de gestionar: </w:t>
      </w:r>
      <w:r>
        <w:rPr>
          <w:rFonts w:ascii="Arial" w:hAnsi="Arial"/>
          <w:b/>
          <w:color w:val="397CDD"/>
          <w:sz w:val="20"/>
          <w:shd w:fill="E8F0FB"/>
        </w:rPr>
        <w:t>[DETALLE, SIN CONTRASEÑAS]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Seguros y prestaciones con beneficiario: </w:t>
      </w:r>
      <w:r>
        <w:rPr>
          <w:rFonts w:ascii="Arial" w:hAnsi="Arial"/>
          <w:b/>
          <w:color w:val="397CDD"/>
          <w:sz w:val="20"/>
          <w:shd w:fill="E8F0FB"/>
        </w:rPr>
        <w:t>[PÓLIZA, ENTIDAD Y BENEFICIARIO CONOCIDO]</w:t>
      </w:r>
      <w:r>
        <w:rPr>
          <w:rFonts w:ascii="Arial" w:hAnsi="Arial"/>
          <w:color w:val="263A43"/>
          <w:sz w:val="20"/>
        </w:rPr>
        <w:t xml:space="preserve">. Tratamiento separado pendiente: </w:t>
      </w:r>
      <w:r>
        <w:rPr>
          <w:rFonts w:ascii="Arial" w:hAnsi="Arial"/>
          <w:b/>
          <w:color w:val="397CDD"/>
          <w:sz w:val="20"/>
          <w:shd w:fill="E8F0FB"/>
        </w:rPr>
        <w:t>[CUESTIÓN]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5. DEUDAS, CARGAS Y CONTINGENCIAS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Vencimiento, intereses y garantía: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Deudores o garantes adicionales: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Clasificación: </w:t>
      </w:r>
      <w:r>
        <w:rPr>
          <w:rFonts w:ascii="Arial" w:hAnsi="Arial"/>
          <w:b/>
          <w:color w:val="397CDD"/>
          <w:sz w:val="20"/>
          <w:shd w:fill="E8F0FB"/>
        </w:rPr>
        <w:t>[ACREDITADA / DISCUTIDA / CONTINGENTE]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Gastos posteriores de conservación o funeral: </w:t>
      </w:r>
      <w:r>
        <w:rPr>
          <w:rFonts w:ascii="Arial" w:hAnsi="Arial"/>
          <w:b/>
          <w:color w:val="397CDD"/>
          <w:sz w:val="20"/>
          <w:shd w:fill="E8F0FB"/>
        </w:rPr>
        <w:t>[CONCEPTO, IMPORTE, PAGADOR Y JUSTIFICANTE; TRATAMIENTO CIVIL Y FISCAL PENDIENTE]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6. RESUMEN PROVISIONAL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Activos imputables al causante, sin duplicidades: </w:t>
      </w:r>
      <w:r>
        <w:rPr>
          <w:rFonts w:ascii="Arial" w:hAnsi="Arial"/>
          <w:b/>
          <w:color w:val="397CDD"/>
          <w:sz w:val="20"/>
          <w:shd w:fill="E8F0FB"/>
        </w:rPr>
        <w:t>[SUMA A]</w:t>
      </w:r>
      <w:r>
        <w:rPr>
          <w:rFonts w:ascii="Arial" w:hAnsi="Arial"/>
          <w:color w:val="263A43"/>
          <w:sz w:val="20"/>
        </w:rPr>
        <w:t xml:space="preserve">. Deudas acreditadas imputables: </w:t>
      </w:r>
      <w:r>
        <w:rPr>
          <w:rFonts w:ascii="Arial" w:hAnsi="Arial"/>
          <w:b/>
          <w:color w:val="397CDD"/>
          <w:sz w:val="20"/>
          <w:shd w:fill="E8F0FB"/>
        </w:rPr>
        <w:t>[SUMA B]</w:t>
      </w:r>
      <w:r>
        <w:rPr>
          <w:rFonts w:ascii="Arial" w:hAnsi="Arial"/>
          <w:color w:val="263A43"/>
          <w:sz w:val="20"/>
        </w:rPr>
        <w:t xml:space="preserve">. Neto orientativo A menos B: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Contingencias no descontadas y su posible efecto: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 xml:space="preserve">. Donaciones, colación o cálculo de legítimas pendientes: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. Este neto no es una base fiscal ni una cuota hereditaria definitiva.</w:t>
      </w:r>
    </w:p>
    <w:p>
      <w:pPr>
        <w:pStyle w:val="Heading2"/>
      </w:pPr>
      <w:r>
        <w:t>7. DOCUMENTOS Y COMPROBACIONES PENDIENTES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: </w:t>
      </w:r>
      <w:r>
        <w:rPr>
          <w:rFonts w:ascii="Arial" w:hAnsi="Arial"/>
          <w:b/>
          <w:color w:val="397CDD"/>
          <w:sz w:val="20"/>
          <w:shd w:fill="E8F0FB"/>
        </w:rPr>
        <w:t>[DESCRIPCIÓN, FECHA, CUSTODIO Y ACTIVO/DEUDA RELACIONADO]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Falta comprobar </w:t>
      </w:r>
      <w:r>
        <w:rPr>
          <w:rFonts w:ascii="Arial" w:hAnsi="Arial"/>
          <w:b/>
          <w:color w:val="397CDD"/>
          <w:sz w:val="20"/>
          <w:shd w:fill="E8F0FB"/>
        </w:rPr>
        <w:t>[CUESTIÓN]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[PERSONA/ENTIDAD]</w:t>
      </w:r>
      <w:r>
        <w:rPr>
          <w:rFonts w:ascii="Arial" w:hAnsi="Arial"/>
          <w:color w:val="263A43"/>
          <w:sz w:val="20"/>
        </w:rPr>
        <w:t xml:space="preserve">, antes de </w:t>
      </w:r>
      <w:r>
        <w:rPr>
          <w:rFonts w:ascii="Arial" w:hAnsi="Arial"/>
          <w:b/>
          <w:color w:val="397CDD"/>
          <w:sz w:val="20"/>
          <w:shd w:fill="E8F0FB"/>
        </w:rPr>
        <w:t>[FECHA DE SEGUIMIENTO, NO PLAZO LEGAL PRESUNTO]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Preparado por: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. Fecha de actualización: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 No firmar como aceptación o adjudicación.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Ficha de trabajo para identificar y documentar el patrimonio hereditario, sin aceptar ni repartir la herencia.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Inventariar no protege por sí solo frente a deudas. No retire fondos, venda bienes o actúe como propietario para completar esta ficha. Este recurso no sustituye la repudiación notarial ni la declaración y el inventario necesarios para el beneficio de inventario. En Derecho común, la aceptación pura y simple puede ser expresa en documento público o privado, o tácita por los actos realizados; una cláusula de reserva no neutraliza un acto que jurídicamente implique aceptación.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Reunir activos, pasivos, porcentajes de titularidad, fuentes, valores provisionales e incertidumbres para el estudio sucesorio y fiscal.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es inventario notarial a beneficio de inventario, tasación, aceptación, partición, liquidación de gananciales ni declaración tributaria.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Anote fecha de fallecimiento, ley sucesoria pendiente de comprobar y régimen económico matrimonial. Separe los bienes del causante de los del cónyuge, cotitulares y terceros.</w:t>
      </w:r>
    </w:p>
    <w:p>
      <w:r>
        <w:rPr>
          <w:rFonts w:ascii="Arial" w:hAnsi="Arial"/>
          <w:color w:val="263A43"/>
          <w:sz w:val="20"/>
        </w:rPr>
        <w:t>2. Duplique cada bloque por activo o deuda. Use identificadores estables: I-01 para inmuebles, B-01 para bancos y D-01 para deudas. Distinga valor total y valor de la participación que pudiera corresponder a la herencia.</w:t>
      </w:r>
    </w:p>
    <w:p>
      <w:r>
        <w:rPr>
          <w:rFonts w:ascii="Arial" w:hAnsi="Arial"/>
          <w:color w:val="263A43"/>
          <w:sz w:val="20"/>
        </w:rPr>
        <w:t>3. En cuentas conjuntas, la cotitularidad bancaria no demuestra por sí sola que el saldo perteneciera por mitades. Registre los indicios de propiedad del dinero y la necesidad de comprobación.</w:t>
      </w:r>
    </w:p>
    <w:p>
      <w:r>
        <w:rPr>
          <w:rFonts w:ascii="Arial" w:hAnsi="Arial"/>
          <w:color w:val="263A43"/>
          <w:sz w:val="20"/>
        </w:rPr>
        <w:t>4. Separe deudas acreditadas de contingencias, garantías y avales. No duplique una deuda hipotecaria como préstamo y como importe adicional de la carga registral.</w:t>
      </w:r>
    </w:p>
    <w:p>
      <w:r>
        <w:rPr>
          <w:rFonts w:ascii="Arial" w:hAnsi="Arial"/>
          <w:color w:val="263A43"/>
          <w:sz w:val="20"/>
        </w:rPr>
        <w:t>5. Solicite información por vías legítimas. No acceda con claves del fallecido. Documente seguros con beneficiario designado por separado, sin incorporarlos automáticamente al caudal. Compruebe la ley sucesoria aplicable: la vecindad civil no equivale sin más al domicilio. El Código Civil común no regula de manera uniforme todas las sucesiones en España. Las especialidades civiles territoriales y las sucesiones internacionales requieren adaptación; no deduzca la ley aplicable solo de dónde está el inmueble.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Certificados de defunción y últimas voluntades; testamento o declaración de herederos, si están disponibles.</w:t>
      </w:r>
    </w:p>
    <w:p>
      <w:r>
        <w:rPr>
          <w:rFonts w:ascii="Arial" w:hAnsi="Arial"/>
          <w:color w:val="263A43"/>
          <w:sz w:val="20"/>
        </w:rPr>
        <w:t>2. Títulos de propiedad, notas registrales, datos catastrales y régimen económico matrimonial.</w:t>
      </w:r>
    </w:p>
    <w:p>
      <w:r>
        <w:rPr>
          <w:rFonts w:ascii="Arial" w:hAnsi="Arial"/>
          <w:color w:val="263A43"/>
          <w:sz w:val="20"/>
        </w:rPr>
        <w:t>3. Certificados bancarios a fecha de fallecimiento, préstamos y garantías.</w:t>
      </w:r>
    </w:p>
    <w:p>
      <w:r>
        <w:rPr>
          <w:rFonts w:ascii="Arial" w:hAnsi="Arial"/>
          <w:color w:val="263A43"/>
          <w:sz w:val="20"/>
        </w:rPr>
        <w:t>4. Facturas, recibos, deudas tributarias conocidas, contratos, documentación societaria y pólizas.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Confundir inventario privado con aceptación a beneficio de inventario.</w:t>
      </w:r>
    </w:p>
    <w:p>
      <w:r>
        <w:rPr>
          <w:rFonts w:ascii="Arial" w:hAnsi="Arial"/>
          <w:color w:val="263A43"/>
          <w:sz w:val="20"/>
        </w:rPr>
        <w:t>2. Valorar todo un inmueble cuando solo pertenecía al causante una participación.</w:t>
      </w:r>
    </w:p>
    <w:p>
      <w:r>
        <w:rPr>
          <w:rFonts w:ascii="Arial" w:hAnsi="Arial"/>
          <w:color w:val="263A43"/>
          <w:sz w:val="20"/>
        </w:rPr>
        <w:t>3. Dar por cierta una deuda verbal, ocultar bienes o redondear saldos sin documentos.</w:t>
      </w:r>
    </w:p>
    <w:p>
      <w:r>
        <w:rPr>
          <w:rFonts w:ascii="Arial" w:hAnsi="Arial"/>
          <w:color w:val="263A43"/>
          <w:sz w:val="20"/>
        </w:rPr>
        <w:t>4. Mezclar valores civiles negociados con valores o bases fiscales sin comprobación.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o notario antes de realizar actos de disposición, si se desconocen deudas, hay avales, actividad empresarial, menores, medidas de apoyo relevantes, conflicto o elementos internacionales. El procurador solo será necesario en el procedimiento judicial que corresponda.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En el régimen general del Reglamento del ISD, el plazo sucesorio es de seis meses desde el fallecimiento y la prórroga se solicita dentro de los cinco primeros meses. Compruebe Administración competente, normativa territorial y requisitos. La negociación privada no amplía por sí sola estos plazos. Si se valora el beneficio de inventario, consulte de inmediato al notario: existen plazos específicos que esta ficha no inicia, cumple ni amplía.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Código Civil — https://www.boe.es/buscar/act.php?id=BOE-A-1889-4763 — BOE. Arts. 9.8, 14 y 16: ley sucesoria y vecindad civil; arts. 999, 1003, 1008 y 1011-1018: aceptación, responsabilidad, repudiación e inventario. Verificación: 2026-09-13.</w:t>
      </w:r>
    </w:p>
    <w:p>
      <w:r>
        <w:rPr>
          <w:rFonts w:ascii="Arial" w:hAnsi="Arial"/>
          <w:color w:val="263A43"/>
          <w:sz w:val="20"/>
        </w:rPr>
        <w:t>2. Código Civil — https://www.boe.es/buscar/act.php?id=BOE-A-1889-4763 — BOE. Arts. 659-661: contenido y sucesión en derechos y obligaciones. Verificación: 2026-09-13.</w:t>
      </w:r>
    </w:p>
    <w:p>
      <w:r>
        <w:rPr>
          <w:rFonts w:ascii="Arial" w:hAnsi="Arial"/>
          <w:color w:val="263A43"/>
          <w:sz w:val="20"/>
        </w:rPr>
        <w:t>3. Reglamento (UE) 650/2012, sucesiones internacionales — https://eur-lex.europa.eu/legal-content/ES/TXT/?uri=CELEX:32012R0650 — EUR-Lex, Unión Europea. Arts. 20-23 y 36: ley aplicable en sucesiones internacionales. Verificación: 2026-09-13.</w:t>
      </w:r>
    </w:p>
    <w:p>
      <w:r>
        <w:rPr>
          <w:rFonts w:ascii="Arial" w:hAnsi="Arial"/>
          <w:color w:val="263A43"/>
          <w:sz w:val="20"/>
        </w:rPr>
        <w:t>4. Real Decreto 1629/1991, Reglamento del Impuesto sobre Sucesiones y Donaciones — https://www.boe.es/buscar/act.php?id=BOE-A-1991-27678 — BOE. Arts. 67-69: plazos y prórroga en el régimen general del ISD. Verificación: 2026-09-13.</w:t>
      </w:r>
    </w:p>
    <w:p>
      <w:r>
        <w:rPr>
          <w:rFonts w:ascii="Arial" w:hAnsi="Arial"/>
          <w:color w:val="263A43"/>
          <w:sz w:val="20"/>
        </w:rPr>
        <w:t>5. Qué información tiene derecho a obtener el heredero — https://clientebancario.bde.es/pcb/es/menu-horizontal/productosservici/herencias/guia-textual/Derechodeinformacionsobrelasposicionesdelcausante/Que_informacion_769a14e11eca761.html — Banco de España, Cliente Bancario. Información bancaria para valorar la herencia antes de aceptarla.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